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EECDF" w14:textId="59E0EF1E" w:rsidR="00A277BA" w:rsidRPr="00A277BA" w:rsidRDefault="00A277BA" w:rsidP="00A277BA">
      <w:pPr>
        <w:tabs>
          <w:tab w:val="right" w:pos="9639"/>
        </w:tabs>
        <w:snapToGrid w:val="0"/>
        <w:spacing w:after="0" w:line="240" w:lineRule="auto"/>
        <w:rPr>
          <w:rFonts w:ascii="Arial" w:eastAsia="宋体" w:hAnsi="Arial" w:cs="Times New Roman"/>
          <w:b/>
          <w:bCs/>
          <w:i/>
          <w:iCs/>
          <w:sz w:val="20"/>
          <w:szCs w:val="20"/>
          <w:lang w:eastAsia="en-US"/>
        </w:rPr>
      </w:pPr>
      <w:r w:rsidRPr="00A277BA">
        <w:rPr>
          <w:rFonts w:ascii="Arial" w:eastAsia="宋体" w:hAnsi="Arial" w:cs="Arial"/>
          <w:b/>
          <w:bCs/>
          <w:sz w:val="20"/>
          <w:szCs w:val="20"/>
          <w:lang w:eastAsia="en-US"/>
        </w:rPr>
        <w:t>3GPP TSG RAN WG1 #1</w:t>
      </w:r>
      <w:r w:rsidR="00EA1042">
        <w:rPr>
          <w:rFonts w:ascii="Arial" w:eastAsia="宋体" w:hAnsi="Arial" w:cs="Arial"/>
          <w:b/>
          <w:bCs/>
          <w:sz w:val="20"/>
          <w:szCs w:val="20"/>
          <w:lang w:eastAsia="en-US"/>
        </w:rPr>
        <w:t>1</w:t>
      </w:r>
      <w:r w:rsidR="00C65219">
        <w:rPr>
          <w:rFonts w:ascii="Arial" w:eastAsia="宋体" w:hAnsi="Arial" w:cs="Arial"/>
          <w:b/>
          <w:bCs/>
          <w:sz w:val="20"/>
          <w:szCs w:val="20"/>
          <w:lang w:eastAsia="en-US"/>
        </w:rPr>
        <w:t>4</w:t>
      </w:r>
      <w:r w:rsidRPr="00A277BA">
        <w:rPr>
          <w:rFonts w:ascii="Arial" w:eastAsia="宋体" w:hAnsi="Arial" w:cs="Times New Roman"/>
          <w:sz w:val="20"/>
          <w:szCs w:val="20"/>
          <w:lang w:eastAsia="en-US"/>
        </w:rPr>
        <w:tab/>
      </w:r>
      <w:r w:rsidR="009150EB" w:rsidRPr="00936E98">
        <w:rPr>
          <w:rFonts w:ascii="Arial" w:eastAsia="宋体" w:hAnsi="Arial" w:cs="Times New Roman"/>
          <w:b/>
          <w:bCs/>
          <w:iCs/>
          <w:sz w:val="20"/>
          <w:szCs w:val="20"/>
          <w:lang w:eastAsia="en-US"/>
        </w:rPr>
        <w:t>R1-2</w:t>
      </w:r>
      <w:r w:rsidR="00F01EDD">
        <w:rPr>
          <w:rFonts w:ascii="Arial" w:eastAsia="宋体" w:hAnsi="Arial" w:cs="Times New Roman"/>
          <w:b/>
          <w:bCs/>
          <w:iCs/>
          <w:sz w:val="20"/>
          <w:szCs w:val="20"/>
          <w:lang w:eastAsia="en-US"/>
        </w:rPr>
        <w:t>3</w:t>
      </w:r>
      <w:r w:rsidR="00D70E07">
        <w:rPr>
          <w:rFonts w:ascii="Arial" w:eastAsia="宋体" w:hAnsi="Arial" w:cs="Times New Roman"/>
          <w:b/>
          <w:bCs/>
          <w:iCs/>
          <w:sz w:val="20"/>
          <w:szCs w:val="20"/>
          <w:lang w:eastAsia="en-US"/>
        </w:rPr>
        <w:t>07117</w:t>
      </w:r>
    </w:p>
    <w:p w14:paraId="141DE30E" w14:textId="4483754F" w:rsidR="005E5844" w:rsidRDefault="00C65219" w:rsidP="00A277BA">
      <w:pPr>
        <w:tabs>
          <w:tab w:val="left" w:pos="1985"/>
        </w:tabs>
        <w:adjustRightInd w:val="0"/>
        <w:spacing w:line="264" w:lineRule="auto"/>
        <w:rPr>
          <w:rFonts w:ascii="Arial" w:eastAsia="MS Mincho" w:hAnsi="Arial" w:cs="Times New Roman"/>
          <w:b/>
          <w:bCs/>
          <w:sz w:val="20"/>
          <w:szCs w:val="24"/>
          <w:lang w:eastAsia="en-US"/>
        </w:rPr>
      </w:pPr>
      <w:r w:rsidRPr="00C65219">
        <w:rPr>
          <w:rFonts w:ascii="Arial" w:eastAsia="宋体" w:hAnsi="Arial" w:cs="Arial"/>
          <w:b/>
          <w:bCs/>
          <w:sz w:val="20"/>
          <w:szCs w:val="20"/>
          <w:lang w:eastAsia="en-US"/>
        </w:rPr>
        <w:t>Toulouse, France, August 21</w:t>
      </w:r>
      <w:r w:rsidRPr="00B20224">
        <w:rPr>
          <w:rFonts w:ascii="Arial" w:eastAsia="宋体" w:hAnsi="Arial" w:cs="Arial"/>
          <w:b/>
          <w:bCs/>
          <w:sz w:val="20"/>
          <w:szCs w:val="20"/>
          <w:vertAlign w:val="superscript"/>
          <w:lang w:eastAsia="en-US"/>
        </w:rPr>
        <w:t>st</w:t>
      </w:r>
      <w:r w:rsidRPr="00C65219">
        <w:rPr>
          <w:rFonts w:ascii="Arial" w:eastAsia="宋体" w:hAnsi="Arial" w:cs="Arial"/>
          <w:b/>
          <w:bCs/>
          <w:sz w:val="20"/>
          <w:szCs w:val="20"/>
          <w:lang w:eastAsia="en-US"/>
        </w:rPr>
        <w:t xml:space="preserve"> – August 25</w:t>
      </w:r>
      <w:r w:rsidRPr="00B20224">
        <w:rPr>
          <w:rFonts w:ascii="Arial" w:eastAsia="宋体" w:hAnsi="Arial" w:cs="Arial"/>
          <w:b/>
          <w:bCs/>
          <w:sz w:val="20"/>
          <w:szCs w:val="20"/>
          <w:vertAlign w:val="superscript"/>
          <w:lang w:eastAsia="en-US"/>
        </w:rPr>
        <w:t>th</w:t>
      </w:r>
      <w:r w:rsidRPr="00C65219">
        <w:rPr>
          <w:rFonts w:ascii="Arial" w:eastAsia="宋体" w:hAnsi="Arial" w:cs="Arial"/>
          <w:b/>
          <w:bCs/>
          <w:sz w:val="20"/>
          <w:szCs w:val="20"/>
          <w:lang w:eastAsia="en-US"/>
        </w:rPr>
        <w:t>, 2023</w:t>
      </w:r>
    </w:p>
    <w:p w14:paraId="31BBA6A6" w14:textId="77777777" w:rsidR="00464D98" w:rsidRDefault="00464D98" w:rsidP="00A277BA">
      <w:pPr>
        <w:tabs>
          <w:tab w:val="left" w:pos="1985"/>
        </w:tabs>
        <w:adjustRightInd w:val="0"/>
        <w:spacing w:line="264" w:lineRule="auto"/>
        <w:rPr>
          <w:rFonts w:ascii="Arial" w:eastAsia="MS Mincho" w:hAnsi="Arial" w:cs="Times New Roman"/>
          <w:b/>
          <w:bCs/>
          <w:sz w:val="20"/>
          <w:szCs w:val="24"/>
          <w:lang w:eastAsia="en-US"/>
        </w:rPr>
      </w:pPr>
    </w:p>
    <w:p w14:paraId="0F577FE8" w14:textId="17DDC42D" w:rsidR="00A277BA" w:rsidRPr="00A277BA"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A277BA">
        <w:rPr>
          <w:rFonts w:ascii="Arial" w:eastAsia="MS Mincho" w:hAnsi="Arial" w:cs="Times New Roman"/>
          <w:b/>
          <w:bCs/>
          <w:sz w:val="20"/>
          <w:szCs w:val="24"/>
          <w:lang w:eastAsia="en-US"/>
        </w:rPr>
        <w:t>Agenda item:</w:t>
      </w:r>
      <w:r w:rsidRPr="00A277BA">
        <w:rPr>
          <w:rFonts w:ascii="Arial" w:eastAsia="MS Mincho" w:hAnsi="Arial" w:cs="Times New Roman"/>
          <w:b/>
          <w:sz w:val="20"/>
          <w:szCs w:val="20"/>
          <w:lang w:eastAsia="en-US"/>
        </w:rPr>
        <w:tab/>
      </w:r>
      <w:r w:rsidR="00B42F64" w:rsidRPr="00B42F64">
        <w:rPr>
          <w:rFonts w:ascii="Arial" w:eastAsia="MS Mincho" w:hAnsi="Arial" w:cs="Times New Roman"/>
          <w:b/>
          <w:sz w:val="20"/>
          <w:szCs w:val="20"/>
          <w:lang w:eastAsia="en-US"/>
        </w:rPr>
        <w:t>9.</w:t>
      </w:r>
      <w:r w:rsidR="00B8623C">
        <w:rPr>
          <w:rFonts w:ascii="Arial" w:eastAsia="MS Mincho" w:hAnsi="Arial" w:cs="Times New Roman"/>
          <w:b/>
          <w:sz w:val="20"/>
          <w:szCs w:val="20"/>
          <w:lang w:eastAsia="en-US"/>
        </w:rPr>
        <w:t>9</w:t>
      </w:r>
      <w:r w:rsidR="00B42F64" w:rsidRPr="00B42F64">
        <w:rPr>
          <w:rFonts w:ascii="Arial" w:eastAsia="MS Mincho" w:hAnsi="Arial" w:cs="Times New Roman"/>
          <w:b/>
          <w:sz w:val="20"/>
          <w:szCs w:val="20"/>
          <w:lang w:eastAsia="en-US"/>
        </w:rPr>
        <w:t>.</w:t>
      </w:r>
      <w:r w:rsidR="00E138E3">
        <w:rPr>
          <w:rFonts w:ascii="Arial" w:eastAsia="MS Mincho" w:hAnsi="Arial" w:cs="Times New Roman"/>
          <w:b/>
          <w:sz w:val="20"/>
          <w:szCs w:val="20"/>
          <w:lang w:eastAsia="en-US"/>
        </w:rPr>
        <w:t>3</w:t>
      </w:r>
    </w:p>
    <w:p w14:paraId="2AD293CA" w14:textId="77777777" w:rsidR="00A277BA" w:rsidRPr="00A277BA" w:rsidRDefault="00A277BA" w:rsidP="00A277BA">
      <w:pPr>
        <w:tabs>
          <w:tab w:val="left" w:pos="1985"/>
        </w:tabs>
        <w:adjustRightInd w:val="0"/>
        <w:spacing w:line="264" w:lineRule="auto"/>
        <w:rPr>
          <w:rFonts w:ascii="Arial" w:eastAsia="MS Mincho" w:hAnsi="Arial" w:cs="Times New Roman"/>
          <w:b/>
          <w:sz w:val="20"/>
          <w:szCs w:val="20"/>
          <w:lang w:eastAsia="en-US"/>
        </w:rPr>
      </w:pPr>
      <w:r w:rsidRPr="00A277BA">
        <w:rPr>
          <w:rFonts w:ascii="Arial" w:eastAsia="MS Mincho" w:hAnsi="Arial" w:cs="Times New Roman"/>
          <w:b/>
          <w:sz w:val="20"/>
          <w:szCs w:val="20"/>
          <w:lang w:eastAsia="en-US"/>
        </w:rPr>
        <w:t>Source:</w:t>
      </w:r>
      <w:r w:rsidRPr="00A277BA">
        <w:rPr>
          <w:rFonts w:ascii="Arial" w:eastAsia="MS Mincho" w:hAnsi="Arial" w:cs="Times New Roman"/>
          <w:b/>
          <w:sz w:val="20"/>
          <w:szCs w:val="20"/>
          <w:lang w:eastAsia="ja-JP"/>
        </w:rPr>
        <w:tab/>
      </w:r>
      <w:r w:rsidRPr="00A277BA">
        <w:rPr>
          <w:rFonts w:ascii="Arial" w:eastAsia="MS Mincho" w:hAnsi="Arial" w:cs="Times New Roman"/>
          <w:b/>
          <w:sz w:val="20"/>
          <w:szCs w:val="20"/>
          <w:lang w:eastAsia="en-US"/>
        </w:rPr>
        <w:t>NEC</w:t>
      </w:r>
    </w:p>
    <w:p w14:paraId="50F0CDC8" w14:textId="77777777" w:rsidR="00B42F64" w:rsidRDefault="00A277BA" w:rsidP="00A277BA">
      <w:pPr>
        <w:tabs>
          <w:tab w:val="left" w:pos="1985"/>
        </w:tabs>
        <w:adjustRightInd w:val="0"/>
        <w:spacing w:line="264" w:lineRule="auto"/>
        <w:rPr>
          <w:rFonts w:ascii="Arial" w:eastAsia="MS Mincho" w:hAnsi="Arial" w:cs="Times New Roman"/>
          <w:b/>
          <w:sz w:val="20"/>
          <w:szCs w:val="20"/>
          <w:lang w:eastAsia="en-US"/>
        </w:rPr>
      </w:pPr>
      <w:r w:rsidRPr="00A277BA">
        <w:rPr>
          <w:rFonts w:ascii="Arial" w:eastAsia="MS Mincho" w:hAnsi="Arial" w:cs="Times New Roman"/>
          <w:b/>
          <w:bCs/>
          <w:sz w:val="20"/>
          <w:szCs w:val="24"/>
          <w:lang w:eastAsia="en-US"/>
        </w:rPr>
        <w:t xml:space="preserve">Title: </w:t>
      </w:r>
      <w:r w:rsidRPr="00A277BA">
        <w:rPr>
          <w:rFonts w:ascii="Arial" w:eastAsia="MS Mincho" w:hAnsi="Arial" w:cs="Times New Roman"/>
          <w:b/>
          <w:sz w:val="20"/>
          <w:szCs w:val="20"/>
          <w:lang w:eastAsia="en-US"/>
        </w:rPr>
        <w:tab/>
      </w:r>
      <w:r w:rsidR="00B42F64" w:rsidRPr="00B42F64">
        <w:rPr>
          <w:rFonts w:ascii="Arial" w:eastAsia="MS Mincho" w:hAnsi="Arial" w:cs="Times New Roman"/>
          <w:b/>
          <w:sz w:val="20"/>
          <w:szCs w:val="20"/>
          <w:lang w:eastAsia="en-US"/>
        </w:rPr>
        <w:t xml:space="preserve">Disabling of HARQ feedback for IoT NTN </w:t>
      </w:r>
    </w:p>
    <w:p w14:paraId="229AD15D" w14:textId="77777777" w:rsidR="00A277BA" w:rsidRPr="00A277BA" w:rsidRDefault="00A277BA" w:rsidP="00A277BA">
      <w:pPr>
        <w:tabs>
          <w:tab w:val="left" w:pos="1985"/>
        </w:tabs>
        <w:adjustRightInd w:val="0"/>
        <w:spacing w:line="264" w:lineRule="auto"/>
        <w:rPr>
          <w:rFonts w:eastAsia="MS Mincho" w:cs="Times New Roman"/>
          <w:kern w:val="2"/>
          <w:sz w:val="20"/>
          <w:szCs w:val="20"/>
          <w:lang w:eastAsia="ja-JP"/>
        </w:rPr>
      </w:pPr>
      <w:r w:rsidRPr="00A277BA">
        <w:rPr>
          <w:rFonts w:ascii="Arial" w:eastAsia="MS Mincho" w:hAnsi="Arial" w:cs="Times New Roman"/>
          <w:b/>
          <w:sz w:val="20"/>
          <w:szCs w:val="20"/>
          <w:lang w:eastAsia="en-US"/>
        </w:rPr>
        <w:t>Document for:</w:t>
      </w:r>
      <w:r w:rsidRPr="00A277BA">
        <w:rPr>
          <w:rFonts w:ascii="Arial" w:eastAsia="MS Mincho" w:hAnsi="Arial" w:cs="Times New Roman"/>
          <w:b/>
          <w:sz w:val="20"/>
          <w:szCs w:val="20"/>
          <w:lang w:eastAsia="en-US"/>
        </w:rPr>
        <w:tab/>
        <w:t>Discussion and Decision</w:t>
      </w:r>
    </w:p>
    <w:p w14:paraId="4061F6D4" w14:textId="77777777" w:rsidR="00A277BA" w:rsidRPr="00B328F2" w:rsidRDefault="00A277BA" w:rsidP="00690981">
      <w:pPr>
        <w:pStyle w:val="1"/>
        <w:rPr>
          <w:lang w:eastAsia="en-US"/>
        </w:rPr>
      </w:pPr>
      <w:r w:rsidRPr="00B328F2">
        <w:rPr>
          <w:lang w:eastAsia="en-US"/>
        </w:rPr>
        <w:t>Introduction</w:t>
      </w:r>
    </w:p>
    <w:p w14:paraId="38C85E3F" w14:textId="5469AE0A" w:rsidR="00D2679A" w:rsidRDefault="004549AB" w:rsidP="00D179A2">
      <w:r>
        <w:t xml:space="preserve">The WID for </w:t>
      </w:r>
      <w:r w:rsidR="003C6D07" w:rsidRPr="003C6D07">
        <w:t xml:space="preserve">IoT NTN enhancements </w:t>
      </w:r>
      <w:r>
        <w:t>w</w:t>
      </w:r>
      <w:r w:rsidR="003C6D07">
        <w:t>as</w:t>
      </w:r>
      <w:r>
        <w:t xml:space="preserve"> approved by</w:t>
      </w:r>
      <w:r w:rsidR="00475E76">
        <w:t xml:space="preserve"> </w:t>
      </w:r>
      <w:r>
        <w:t xml:space="preserve">RAN plenary </w:t>
      </w:r>
      <w:r w:rsidR="00EA1042">
        <w:t>#</w:t>
      </w:r>
      <w:r w:rsidR="00475E76">
        <w:t>95e meeting in</w:t>
      </w:r>
      <w:r w:rsidR="003C6D07">
        <w:t xml:space="preserve"> </w:t>
      </w:r>
      <w:hyperlink r:id="rId8" w:history="1">
        <w:r w:rsidR="003C6D07" w:rsidRPr="00863E37">
          <w:rPr>
            <w:rStyle w:val="a6"/>
            <w:iCs/>
            <w:color w:val="auto"/>
            <w:u w:val="none"/>
          </w:rPr>
          <w:t>RP-220979</w:t>
        </w:r>
      </w:hyperlink>
      <w:r w:rsidR="003C6D07" w:rsidRPr="00863E37">
        <w:t xml:space="preserve"> </w:t>
      </w:r>
      <w:r>
        <w:t>[1]</w:t>
      </w:r>
      <w:r w:rsidR="003C6D07">
        <w:t>.</w:t>
      </w:r>
      <w:r w:rsidR="00475E76">
        <w:t xml:space="preserve"> </w:t>
      </w:r>
      <w:r w:rsidR="00E2469D">
        <w:t xml:space="preserve">The </w:t>
      </w:r>
      <w:r w:rsidR="004A2C8A">
        <w:t>objective</w:t>
      </w:r>
      <w:r w:rsidR="00E2469D">
        <w:t xml:space="preserve">s include </w:t>
      </w:r>
      <w:r w:rsidR="004A2C8A">
        <w:t>‘</w:t>
      </w:r>
      <w:r w:rsidR="004A2C8A" w:rsidRPr="004A2C8A">
        <w:rPr>
          <w:i/>
          <w:iCs/>
        </w:rPr>
        <w:t xml:space="preserve">Disabling of HARQ feedback to mitigate </w:t>
      </w:r>
      <w:r w:rsidR="0017484E" w:rsidRPr="0017484E">
        <w:rPr>
          <w:i/>
          <w:iCs/>
        </w:rPr>
        <w:t xml:space="preserve">the impact of HARQ stalling on UE data rates [RAN1, RAN2]’ </w:t>
      </w:r>
      <w:r w:rsidR="00D2679A">
        <w:t xml:space="preserve">considering the </w:t>
      </w:r>
      <w:r w:rsidR="00E2469D" w:rsidRPr="00E2469D">
        <w:t xml:space="preserve">Rel-17 IoT-NTN </w:t>
      </w:r>
      <w:r w:rsidR="00D179A2">
        <w:t xml:space="preserve">and </w:t>
      </w:r>
      <w:r w:rsidR="00D179A2" w:rsidRPr="00E2469D">
        <w:t xml:space="preserve">Rel-17 NR-NTN outcome </w:t>
      </w:r>
      <w:r w:rsidR="00E2469D" w:rsidRPr="00E2469D">
        <w:t xml:space="preserve">as </w:t>
      </w:r>
      <w:r w:rsidR="00D179A2">
        <w:t xml:space="preserve">a </w:t>
      </w:r>
      <w:r w:rsidR="00E2469D" w:rsidRPr="00E2469D">
        <w:t>baseline</w:t>
      </w:r>
      <w:r w:rsidR="00E2469D">
        <w:t xml:space="preserve">. </w:t>
      </w:r>
      <w:r w:rsidR="002006DC">
        <w:t xml:space="preserve">And below agreements were reached in the RAN1 </w:t>
      </w:r>
      <w:r w:rsidR="009A191A">
        <w:t>#11</w:t>
      </w:r>
      <w:r w:rsidR="003123B8">
        <w:t>3</w:t>
      </w:r>
      <w:r w:rsidR="009A191A">
        <w:t xml:space="preserve"> </w:t>
      </w:r>
      <w:r w:rsidR="004673FD">
        <w:t>meeting</w:t>
      </w:r>
      <w:r w:rsidR="002006DC">
        <w:t>.</w:t>
      </w:r>
    </w:p>
    <w:p w14:paraId="6DEF4969" w14:textId="77777777" w:rsidR="00FC4EE0" w:rsidRPr="00FC4EE0" w:rsidRDefault="00FC4EE0" w:rsidP="00FC4EE0">
      <w:pPr>
        <w:rPr>
          <w:b/>
          <w:bCs/>
          <w:i/>
          <w:szCs w:val="20"/>
          <w:highlight w:val="green"/>
        </w:rPr>
      </w:pPr>
      <w:bookmarkStart w:id="0" w:name="_Hlk135835537"/>
      <w:r w:rsidRPr="00FC4EE0">
        <w:rPr>
          <w:b/>
          <w:bCs/>
          <w:i/>
          <w:szCs w:val="20"/>
          <w:highlight w:val="green"/>
        </w:rPr>
        <w:t>Agreement</w:t>
      </w:r>
    </w:p>
    <w:p w14:paraId="0FE020FB" w14:textId="77777777" w:rsidR="00FC4EE0" w:rsidRPr="00FC4EE0" w:rsidRDefault="00FC4EE0" w:rsidP="00FC4EE0">
      <w:pPr>
        <w:rPr>
          <w:i/>
          <w:szCs w:val="20"/>
        </w:rPr>
      </w:pPr>
      <w:r w:rsidRPr="00FC4EE0">
        <w:rPr>
          <w:i/>
          <w:szCs w:val="20"/>
        </w:rPr>
        <w:t xml:space="preserve">For single TB scheduled by DCI, </w:t>
      </w:r>
    </w:p>
    <w:p w14:paraId="245DFCF3" w14:textId="77777777" w:rsidR="00FC4EE0" w:rsidRPr="00FC4EE0" w:rsidRDefault="00FC4EE0" w:rsidP="00FC4EE0">
      <w:pPr>
        <w:pStyle w:val="a4"/>
        <w:numPr>
          <w:ilvl w:val="0"/>
          <w:numId w:val="39"/>
        </w:numPr>
        <w:overflowPunct w:val="0"/>
        <w:autoSpaceDE w:val="0"/>
        <w:autoSpaceDN w:val="0"/>
        <w:adjustRightInd w:val="0"/>
        <w:spacing w:after="0"/>
        <w:jc w:val="left"/>
        <w:textAlignment w:val="baseline"/>
        <w:rPr>
          <w:i/>
          <w:szCs w:val="20"/>
        </w:rPr>
      </w:pPr>
      <w:r w:rsidRPr="00FC4EE0">
        <w:rPr>
          <w:rFonts w:hint="eastAsia"/>
          <w:i/>
          <w:szCs w:val="20"/>
          <w:highlight w:val="darkYellow"/>
        </w:rPr>
        <w:t>Work</w:t>
      </w:r>
      <w:r w:rsidRPr="00FC4EE0">
        <w:rPr>
          <w:i/>
          <w:szCs w:val="20"/>
          <w:highlight w:val="darkYellow"/>
        </w:rPr>
        <w:t>ing assumption 1</w:t>
      </w:r>
      <w:r w:rsidRPr="00FC4EE0">
        <w:rPr>
          <w:i/>
          <w:szCs w:val="20"/>
        </w:rPr>
        <w:t xml:space="preserve"> DCI based overridden indication is applied to both semi-statically HARQ disabled and enabled processes</w:t>
      </w:r>
    </w:p>
    <w:p w14:paraId="44BDBFDB" w14:textId="77777777" w:rsidR="00FC4EE0" w:rsidRPr="00FC4EE0" w:rsidRDefault="00FC4EE0" w:rsidP="00FC4EE0">
      <w:pPr>
        <w:pStyle w:val="a4"/>
        <w:numPr>
          <w:ilvl w:val="1"/>
          <w:numId w:val="39"/>
        </w:numPr>
        <w:overflowPunct w:val="0"/>
        <w:autoSpaceDE w:val="0"/>
        <w:autoSpaceDN w:val="0"/>
        <w:adjustRightInd w:val="0"/>
        <w:spacing w:after="0"/>
        <w:jc w:val="left"/>
        <w:textAlignment w:val="baseline"/>
        <w:rPr>
          <w:i/>
          <w:szCs w:val="20"/>
        </w:rPr>
      </w:pPr>
      <w:r w:rsidRPr="00FC4EE0">
        <w:rPr>
          <w:i/>
          <w:szCs w:val="20"/>
        </w:rPr>
        <w:t>For DCI based overridden indication, adopt indication by reusing/reinterpreting HARQ-ACK related field in DCI</w:t>
      </w:r>
    </w:p>
    <w:p w14:paraId="3E761CA2" w14:textId="77777777" w:rsidR="00FC4EE0" w:rsidRPr="00FC4EE0" w:rsidRDefault="00FC4EE0" w:rsidP="00FC4EE0">
      <w:pPr>
        <w:pStyle w:val="a4"/>
        <w:numPr>
          <w:ilvl w:val="2"/>
          <w:numId w:val="39"/>
        </w:numPr>
        <w:overflowPunct w:val="0"/>
        <w:autoSpaceDE w:val="0"/>
        <w:autoSpaceDN w:val="0"/>
        <w:adjustRightInd w:val="0"/>
        <w:spacing w:after="0"/>
        <w:jc w:val="left"/>
        <w:textAlignment w:val="baseline"/>
        <w:rPr>
          <w:i/>
          <w:szCs w:val="20"/>
        </w:rPr>
      </w:pPr>
      <w:r w:rsidRPr="00FC4EE0">
        <w:rPr>
          <w:i/>
          <w:szCs w:val="20"/>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54355827" w14:textId="77777777" w:rsidR="00FC4EE0" w:rsidRPr="00FC4EE0" w:rsidRDefault="00FC4EE0" w:rsidP="00FC4EE0">
      <w:pPr>
        <w:pStyle w:val="a4"/>
        <w:numPr>
          <w:ilvl w:val="3"/>
          <w:numId w:val="39"/>
        </w:numPr>
        <w:overflowPunct w:val="0"/>
        <w:autoSpaceDE w:val="0"/>
        <w:autoSpaceDN w:val="0"/>
        <w:adjustRightInd w:val="0"/>
        <w:spacing w:after="0"/>
        <w:jc w:val="left"/>
        <w:textAlignment w:val="baseline"/>
        <w:rPr>
          <w:i/>
          <w:szCs w:val="20"/>
        </w:rPr>
      </w:pPr>
      <w:r w:rsidRPr="00FC4EE0">
        <w:rPr>
          <w:i/>
          <w:szCs w:val="20"/>
        </w:rPr>
        <w:t>HARQ feedback disabled is reversed to enabled in case of any states other than state A in “HARQ-ACK resource offset”, otherwise is maintained as disabled.</w:t>
      </w:r>
    </w:p>
    <w:p w14:paraId="1D83C030" w14:textId="77777777" w:rsidR="00FC4EE0" w:rsidRPr="00FC4EE0" w:rsidRDefault="00FC4EE0" w:rsidP="00FC4EE0">
      <w:pPr>
        <w:pStyle w:val="a4"/>
        <w:numPr>
          <w:ilvl w:val="3"/>
          <w:numId w:val="39"/>
        </w:numPr>
        <w:overflowPunct w:val="0"/>
        <w:autoSpaceDE w:val="0"/>
        <w:autoSpaceDN w:val="0"/>
        <w:adjustRightInd w:val="0"/>
        <w:spacing w:after="0"/>
        <w:jc w:val="left"/>
        <w:textAlignment w:val="baseline"/>
        <w:rPr>
          <w:i/>
          <w:szCs w:val="20"/>
        </w:rPr>
      </w:pPr>
      <w:r w:rsidRPr="00FC4EE0">
        <w:rPr>
          <w:i/>
          <w:szCs w:val="20"/>
        </w:rPr>
        <w:t>HARQ feedback enabled is maintained in case of any states other than state A in “HARQ-ACK resource offset”, otherwise is reversed to disabled.</w:t>
      </w:r>
    </w:p>
    <w:p w14:paraId="6270BA1E" w14:textId="77777777" w:rsidR="00FC4EE0" w:rsidRPr="00FC4EE0" w:rsidRDefault="00FC4EE0" w:rsidP="00FC4EE0">
      <w:pPr>
        <w:pStyle w:val="a4"/>
        <w:numPr>
          <w:ilvl w:val="4"/>
          <w:numId w:val="39"/>
        </w:numPr>
        <w:overflowPunct w:val="0"/>
        <w:autoSpaceDE w:val="0"/>
        <w:autoSpaceDN w:val="0"/>
        <w:adjustRightInd w:val="0"/>
        <w:spacing w:after="0"/>
        <w:jc w:val="left"/>
        <w:textAlignment w:val="baseline"/>
        <w:rPr>
          <w:i/>
          <w:szCs w:val="20"/>
        </w:rPr>
      </w:pPr>
      <w:r w:rsidRPr="00FC4EE0">
        <w:rPr>
          <w:i/>
          <w:szCs w:val="20"/>
        </w:rPr>
        <w:t>FFS: detailed state A, and whether this state A is different across different UEs</w:t>
      </w:r>
    </w:p>
    <w:p w14:paraId="19A0F215" w14:textId="77777777" w:rsidR="00FC4EE0" w:rsidRPr="00FC4EE0" w:rsidRDefault="00FC4EE0" w:rsidP="00FC4EE0">
      <w:pPr>
        <w:pStyle w:val="a4"/>
        <w:numPr>
          <w:ilvl w:val="2"/>
          <w:numId w:val="39"/>
        </w:numPr>
        <w:overflowPunct w:val="0"/>
        <w:autoSpaceDE w:val="0"/>
        <w:autoSpaceDN w:val="0"/>
        <w:adjustRightInd w:val="0"/>
        <w:spacing w:after="0"/>
        <w:jc w:val="left"/>
        <w:textAlignment w:val="baseline"/>
        <w:rPr>
          <w:i/>
          <w:szCs w:val="20"/>
        </w:rPr>
      </w:pPr>
      <w:r w:rsidRPr="00FC4EE0">
        <w:rPr>
          <w:i/>
          <w:szCs w:val="20"/>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4E73D9A8" w14:textId="77777777" w:rsidR="00FC4EE0" w:rsidRPr="00FC4EE0" w:rsidRDefault="00FC4EE0" w:rsidP="00FC4EE0">
      <w:pPr>
        <w:pStyle w:val="a4"/>
        <w:numPr>
          <w:ilvl w:val="3"/>
          <w:numId w:val="39"/>
        </w:numPr>
        <w:overflowPunct w:val="0"/>
        <w:autoSpaceDE w:val="0"/>
        <w:autoSpaceDN w:val="0"/>
        <w:adjustRightInd w:val="0"/>
        <w:spacing w:after="0"/>
        <w:jc w:val="left"/>
        <w:textAlignment w:val="baseline"/>
        <w:rPr>
          <w:i/>
          <w:szCs w:val="20"/>
        </w:rPr>
      </w:pPr>
      <w:r w:rsidRPr="00FC4EE0">
        <w:rPr>
          <w:i/>
          <w:szCs w:val="20"/>
        </w:rPr>
        <w:t>The same DCI indication functionality as eMTC is adopted.</w:t>
      </w:r>
    </w:p>
    <w:p w14:paraId="4D71ED8E" w14:textId="77777777" w:rsidR="00FC4EE0" w:rsidRPr="00FC4EE0" w:rsidRDefault="00FC4EE0" w:rsidP="00FC4EE0">
      <w:pPr>
        <w:pStyle w:val="a4"/>
        <w:numPr>
          <w:ilvl w:val="0"/>
          <w:numId w:val="39"/>
        </w:numPr>
        <w:overflowPunct w:val="0"/>
        <w:autoSpaceDE w:val="0"/>
        <w:autoSpaceDN w:val="0"/>
        <w:adjustRightInd w:val="0"/>
        <w:spacing w:after="0"/>
        <w:jc w:val="left"/>
        <w:textAlignment w:val="baseline"/>
        <w:rPr>
          <w:rFonts w:eastAsia="Times New Roman"/>
          <w:i/>
          <w:szCs w:val="20"/>
        </w:rPr>
      </w:pPr>
      <w:r w:rsidRPr="00FC4EE0">
        <w:rPr>
          <w:i/>
          <w:szCs w:val="20"/>
          <w:highlight w:val="darkYellow"/>
        </w:rPr>
        <w:t>Working assumption 2</w:t>
      </w:r>
      <w:r w:rsidRPr="00FC4EE0">
        <w:rPr>
          <w:i/>
          <w:szCs w:val="20"/>
        </w:rPr>
        <w:t xml:space="preserve"> For Option 1 + Option 3 DCI based overridden mechanism, for a HARQ process configured as HARQ feedback disabled by per-HARQ process bitmap signaling and further reversed to HARQ feedback enabled by DCI, the NBIoT UE does not wait for an RTT+3ms (</w:t>
      </w:r>
      <w:r w:rsidRPr="00FC4EE0">
        <w:rPr>
          <w:rFonts w:hint="eastAsia"/>
          <w:i/>
          <w:szCs w:val="20"/>
        </w:rPr>
        <w:t>i.</w:t>
      </w:r>
      <w:r w:rsidRPr="00FC4EE0">
        <w:rPr>
          <w:i/>
          <w:szCs w:val="20"/>
        </w:rPr>
        <w:t xml:space="preserve">e., till subframe </w:t>
      </w:r>
      <w:r w:rsidRPr="00FC4EE0">
        <w:rPr>
          <w:i/>
          <w:iCs/>
          <w:szCs w:val="20"/>
        </w:rPr>
        <w:t>n+Kmac+3</w:t>
      </w:r>
      <w:r w:rsidRPr="00FC4EE0">
        <w:rPr>
          <w:i/>
          <w:szCs w:val="20"/>
        </w:rPr>
        <w:t xml:space="preserve"> in TS36.213 section 16.6) before monitoring NPDCCH for the same HARQ process (or monitoring any NPDCCH for the case of single HARQ process configuration). </w:t>
      </w:r>
    </w:p>
    <w:p w14:paraId="26B32D2A" w14:textId="77777777" w:rsidR="00FC4EE0" w:rsidRPr="00FC4EE0" w:rsidRDefault="00FC4EE0" w:rsidP="00FC4EE0">
      <w:pPr>
        <w:pStyle w:val="a4"/>
        <w:numPr>
          <w:ilvl w:val="0"/>
          <w:numId w:val="39"/>
        </w:numPr>
        <w:overflowPunct w:val="0"/>
        <w:autoSpaceDE w:val="0"/>
        <w:autoSpaceDN w:val="0"/>
        <w:adjustRightInd w:val="0"/>
        <w:spacing w:after="0"/>
        <w:jc w:val="left"/>
        <w:textAlignment w:val="baseline"/>
        <w:rPr>
          <w:i/>
          <w:szCs w:val="20"/>
          <w:lang w:eastAsia="ko-KR"/>
        </w:rPr>
      </w:pPr>
      <w:r w:rsidRPr="00FC4EE0">
        <w:rPr>
          <w:i/>
          <w:szCs w:val="20"/>
          <w:lang w:eastAsia="ko-KR"/>
        </w:rPr>
        <w:t>Send an LS to RAN2 with the following contents:</w:t>
      </w:r>
    </w:p>
    <w:p w14:paraId="42D87029" w14:textId="77777777" w:rsidR="00FC4EE0" w:rsidRPr="00FE422B" w:rsidRDefault="00FC4EE0" w:rsidP="00FC4EE0">
      <w:pPr>
        <w:pStyle w:val="a4"/>
        <w:numPr>
          <w:ilvl w:val="1"/>
          <w:numId w:val="39"/>
        </w:numPr>
        <w:overflowPunct w:val="0"/>
        <w:autoSpaceDE w:val="0"/>
        <w:autoSpaceDN w:val="0"/>
        <w:adjustRightInd w:val="0"/>
        <w:spacing w:after="0"/>
        <w:jc w:val="left"/>
        <w:textAlignment w:val="baseline"/>
        <w:rPr>
          <w:szCs w:val="20"/>
          <w:lang w:eastAsia="ko-KR"/>
        </w:rPr>
      </w:pPr>
      <w:r w:rsidRPr="00FC4EE0">
        <w:rPr>
          <w:i/>
          <w:szCs w:val="20"/>
          <w:lang w:eastAsia="ko-KR"/>
        </w:rPr>
        <w:t>RAN1 respectfully ask RAN2 for the feasibility of Working assumption 2 (taking into account potential RAN2 spec impact).</w:t>
      </w:r>
    </w:p>
    <w:bookmarkEnd w:id="0"/>
    <w:p w14:paraId="7546AA4B" w14:textId="77777777" w:rsidR="00FC4EE0" w:rsidRPr="00FC4EE0" w:rsidRDefault="00FC4EE0" w:rsidP="00D179A2"/>
    <w:p w14:paraId="7C44EB9E" w14:textId="77777777" w:rsidR="00FA7FBF" w:rsidRPr="00FA7FBF" w:rsidRDefault="00FA7FBF" w:rsidP="00FA7FBF">
      <w:pPr>
        <w:rPr>
          <w:b/>
          <w:bCs/>
          <w:i/>
          <w:iCs/>
          <w:szCs w:val="20"/>
          <w:highlight w:val="green"/>
        </w:rPr>
      </w:pPr>
      <w:r w:rsidRPr="00FA7FBF">
        <w:rPr>
          <w:b/>
          <w:bCs/>
          <w:i/>
          <w:iCs/>
          <w:szCs w:val="20"/>
          <w:highlight w:val="green"/>
        </w:rPr>
        <w:lastRenderedPageBreak/>
        <w:t>Agreement</w:t>
      </w:r>
    </w:p>
    <w:p w14:paraId="7B100328" w14:textId="77777777" w:rsidR="00FA7FBF" w:rsidRPr="007C4E3E" w:rsidRDefault="00FA7FBF" w:rsidP="00FA7FBF">
      <w:pPr>
        <w:rPr>
          <w:i/>
        </w:rPr>
      </w:pPr>
      <w:r w:rsidRPr="007C4E3E">
        <w:rPr>
          <w:i/>
        </w:rPr>
        <w:t>For the RRC configuration of DCI solution enabling/disabling of HARQ feedback for NB-IoT and LTE-MTC in CE Mode B, the RRC configuration is UE-specific.</w:t>
      </w:r>
    </w:p>
    <w:p w14:paraId="70FCE582" w14:textId="77777777" w:rsidR="00FA7FBF" w:rsidRPr="007C4E3E" w:rsidRDefault="00FA7FBF" w:rsidP="00FA7FBF">
      <w:pPr>
        <w:rPr>
          <w:b/>
          <w:bCs/>
          <w:i/>
          <w:iCs/>
          <w:highlight w:val="green"/>
        </w:rPr>
      </w:pPr>
      <w:r w:rsidRPr="007C4E3E">
        <w:rPr>
          <w:b/>
          <w:bCs/>
          <w:i/>
          <w:iCs/>
          <w:highlight w:val="green"/>
        </w:rPr>
        <w:t>Agreement</w:t>
      </w:r>
    </w:p>
    <w:p w14:paraId="30FD9AD2" w14:textId="4779813E" w:rsidR="00FA7FBF" w:rsidRPr="007C4E3E" w:rsidRDefault="007C4E3E" w:rsidP="00FA7FBF">
      <w:pPr>
        <w:rPr>
          <w:rFonts w:eastAsia="等线"/>
          <w:i/>
        </w:rPr>
      </w:pPr>
      <w:r w:rsidRPr="007C4E3E">
        <w:rPr>
          <w:i/>
        </w:rPr>
        <w:t>F</w:t>
      </w:r>
      <w:r w:rsidR="00FA7FBF" w:rsidRPr="007C4E3E">
        <w:rPr>
          <w:i/>
        </w:rPr>
        <w:t>or NB-IoT and LTE-MTC in CE Mode B</w:t>
      </w:r>
      <w:r w:rsidR="00FA7FBF" w:rsidRPr="007C4E3E">
        <w:rPr>
          <w:rFonts w:eastAsia="等线"/>
          <w:i/>
        </w:rPr>
        <w:t xml:space="preserve">, if multiple TBs is configured, for DCI-based </w:t>
      </w:r>
      <w:r w:rsidR="00FA7FBF" w:rsidRPr="007C4E3E">
        <w:rPr>
          <w:i/>
          <w:iCs/>
        </w:rPr>
        <w:t>HARQ enabling/disabling direct indication</w:t>
      </w:r>
      <w:r w:rsidR="00FA7FBF" w:rsidRPr="007C4E3E">
        <w:rPr>
          <w:rFonts w:eastAsia="等线"/>
          <w:i/>
        </w:rPr>
        <w:t xml:space="preserve"> in multiple TBs scheduled by single DCI, the </w:t>
      </w:r>
      <w:r w:rsidR="00FA7FBF" w:rsidRPr="007C4E3E">
        <w:rPr>
          <w:i/>
          <w:iCs/>
        </w:rPr>
        <w:t xml:space="preserve">same indication is applied to </w:t>
      </w:r>
      <w:r w:rsidR="00FA7FBF" w:rsidRPr="007C4E3E">
        <w:rPr>
          <w:rFonts w:eastAsia="等线"/>
          <w:i/>
        </w:rPr>
        <w:t>all scheduled TBs, i.e. HARQ is enabled or disabled for all TBs.</w:t>
      </w:r>
    </w:p>
    <w:p w14:paraId="160CDE40" w14:textId="77777777" w:rsidR="004857E1" w:rsidRPr="007C4E3E" w:rsidRDefault="004857E1" w:rsidP="004857E1">
      <w:pPr>
        <w:pStyle w:val="af5"/>
        <w:spacing w:after="0"/>
        <w:rPr>
          <w:rFonts w:eastAsia="宋体"/>
          <w:b/>
          <w:i/>
          <w:sz w:val="22"/>
          <w:szCs w:val="22"/>
          <w:lang w:eastAsia="zh-CN"/>
        </w:rPr>
      </w:pPr>
      <w:r w:rsidRPr="007C4E3E">
        <w:rPr>
          <w:rFonts w:eastAsia="宋体"/>
          <w:b/>
          <w:i/>
          <w:sz w:val="22"/>
          <w:szCs w:val="22"/>
          <w:highlight w:val="green"/>
          <w:lang w:eastAsia="zh-CN"/>
        </w:rPr>
        <w:t>Agreement</w:t>
      </w:r>
    </w:p>
    <w:p w14:paraId="06B6F78C" w14:textId="77777777" w:rsidR="004857E1" w:rsidRPr="007C4E3E" w:rsidRDefault="004857E1" w:rsidP="004857E1">
      <w:pPr>
        <w:pStyle w:val="af5"/>
        <w:spacing w:after="0"/>
        <w:rPr>
          <w:rFonts w:eastAsia="宋体"/>
          <w:i/>
          <w:iCs/>
          <w:sz w:val="22"/>
          <w:szCs w:val="22"/>
          <w:lang w:eastAsia="zh-CN"/>
        </w:rPr>
      </w:pPr>
      <w:r w:rsidRPr="007C4E3E">
        <w:rPr>
          <w:rFonts w:eastAsia="宋体"/>
          <w:i/>
          <w:iCs/>
          <w:sz w:val="22"/>
          <w:szCs w:val="22"/>
          <w:lang w:eastAsia="zh-CN"/>
        </w:rPr>
        <w:t>For a NB-IoT UE operating with two HARQ processes, for an UL HARQ process with HARQ mode B, the minimum time between the end of NPUSCH transmission and the start of NPDCCH monitoring for the same HARQ process is 1 ms.</w:t>
      </w:r>
    </w:p>
    <w:p w14:paraId="34437579" w14:textId="77777777" w:rsidR="004857E1" w:rsidRPr="007C4E3E" w:rsidRDefault="004857E1" w:rsidP="004857E1">
      <w:pPr>
        <w:pStyle w:val="a4"/>
        <w:numPr>
          <w:ilvl w:val="0"/>
          <w:numId w:val="39"/>
        </w:numPr>
        <w:overflowPunct w:val="0"/>
        <w:autoSpaceDE w:val="0"/>
        <w:autoSpaceDN w:val="0"/>
        <w:adjustRightInd w:val="0"/>
        <w:spacing w:after="0"/>
        <w:jc w:val="left"/>
        <w:textAlignment w:val="baseline"/>
        <w:rPr>
          <w:rFonts w:eastAsia="宋体"/>
          <w:i/>
          <w:iCs/>
        </w:rPr>
      </w:pPr>
      <w:r w:rsidRPr="007C4E3E">
        <w:rPr>
          <w:rFonts w:eastAsia="宋体" w:hint="eastAsia"/>
          <w:i/>
          <w:iCs/>
        </w:rPr>
        <w:t>N</w:t>
      </w:r>
      <w:r w:rsidRPr="007C4E3E">
        <w:rPr>
          <w:rFonts w:eastAsia="宋体"/>
          <w:i/>
          <w:iCs/>
        </w:rPr>
        <w:t>ote: this implies a RAN1 specification change in Rel-18</w:t>
      </w:r>
    </w:p>
    <w:p w14:paraId="1AFE84F7" w14:textId="77777777" w:rsidR="004857E1" w:rsidRPr="007C4E3E" w:rsidRDefault="004857E1" w:rsidP="004857E1">
      <w:pPr>
        <w:pStyle w:val="af5"/>
        <w:spacing w:after="0"/>
        <w:rPr>
          <w:rFonts w:eastAsia="宋体"/>
          <w:i/>
          <w:sz w:val="22"/>
          <w:szCs w:val="22"/>
          <w:lang w:eastAsia="zh-CN"/>
        </w:rPr>
      </w:pPr>
    </w:p>
    <w:p w14:paraId="313FC1B0" w14:textId="77777777" w:rsidR="004857E1" w:rsidRPr="007C4E3E" w:rsidRDefault="004857E1" w:rsidP="004857E1">
      <w:pPr>
        <w:pStyle w:val="af5"/>
        <w:spacing w:after="0"/>
        <w:rPr>
          <w:rFonts w:eastAsia="宋体"/>
          <w:b/>
          <w:i/>
          <w:sz w:val="22"/>
          <w:szCs w:val="22"/>
          <w:lang w:eastAsia="zh-CN"/>
        </w:rPr>
      </w:pPr>
      <w:r w:rsidRPr="007C4E3E">
        <w:rPr>
          <w:rFonts w:eastAsia="宋体"/>
          <w:b/>
          <w:i/>
          <w:sz w:val="22"/>
          <w:szCs w:val="22"/>
          <w:highlight w:val="green"/>
          <w:lang w:eastAsia="zh-CN"/>
        </w:rPr>
        <w:t>Agreement</w:t>
      </w:r>
    </w:p>
    <w:p w14:paraId="75F63B20" w14:textId="77777777" w:rsidR="004857E1" w:rsidRPr="007C4E3E" w:rsidRDefault="004857E1" w:rsidP="004857E1">
      <w:pPr>
        <w:pStyle w:val="af5"/>
        <w:spacing w:after="0"/>
        <w:rPr>
          <w:rFonts w:eastAsia="宋体"/>
          <w:i/>
          <w:sz w:val="22"/>
          <w:szCs w:val="22"/>
          <w:lang w:eastAsia="zh-CN"/>
        </w:rPr>
      </w:pPr>
      <w:r w:rsidRPr="007C4E3E">
        <w:rPr>
          <w:rFonts w:eastAsia="宋体"/>
          <w:i/>
          <w:sz w:val="22"/>
          <w:szCs w:val="22"/>
          <w:lang w:eastAsia="zh-CN"/>
        </w:rPr>
        <w:t xml:space="preserve">For the response to RAN2’s question 1a: </w:t>
      </w:r>
      <w:r w:rsidRPr="007C4E3E">
        <w:rPr>
          <w:rFonts w:eastAsia="宋体" w:hint="eastAsia"/>
          <w:i/>
          <w:sz w:val="22"/>
          <w:szCs w:val="22"/>
          <w:lang w:eastAsia="zh-CN"/>
        </w:rPr>
        <w:t>p</w:t>
      </w:r>
      <w:r w:rsidRPr="007C4E3E">
        <w:rPr>
          <w:rFonts w:eastAsia="宋体"/>
          <w:i/>
          <w:sz w:val="22"/>
          <w:szCs w:val="22"/>
          <w:lang w:eastAsia="zh-CN"/>
        </w:rPr>
        <w:t>rovide the agreement above.</w:t>
      </w:r>
    </w:p>
    <w:p w14:paraId="024731B1" w14:textId="77777777" w:rsidR="004857E1" w:rsidRPr="007C4E3E" w:rsidRDefault="004857E1" w:rsidP="004857E1">
      <w:pPr>
        <w:pStyle w:val="af5"/>
        <w:spacing w:after="0"/>
        <w:rPr>
          <w:rFonts w:eastAsia="宋体"/>
          <w:i/>
          <w:sz w:val="22"/>
          <w:szCs w:val="22"/>
          <w:lang w:eastAsia="zh-CN"/>
        </w:rPr>
      </w:pPr>
    </w:p>
    <w:p w14:paraId="0049F88B" w14:textId="77777777" w:rsidR="004857E1" w:rsidRPr="007C4E3E" w:rsidRDefault="004857E1" w:rsidP="004857E1">
      <w:pPr>
        <w:pStyle w:val="af5"/>
        <w:spacing w:after="0"/>
        <w:rPr>
          <w:rFonts w:eastAsia="宋体"/>
          <w:b/>
          <w:i/>
          <w:sz w:val="22"/>
          <w:szCs w:val="22"/>
          <w:lang w:eastAsia="zh-CN"/>
        </w:rPr>
      </w:pPr>
      <w:r w:rsidRPr="007C4E3E">
        <w:rPr>
          <w:rFonts w:eastAsia="宋体"/>
          <w:b/>
          <w:i/>
          <w:sz w:val="22"/>
          <w:szCs w:val="22"/>
          <w:highlight w:val="green"/>
          <w:lang w:eastAsia="zh-CN"/>
        </w:rPr>
        <w:t>Agreement</w:t>
      </w:r>
    </w:p>
    <w:p w14:paraId="30D0AA8A" w14:textId="77777777" w:rsidR="004857E1" w:rsidRPr="007C4E3E" w:rsidRDefault="004857E1" w:rsidP="004857E1">
      <w:pPr>
        <w:pStyle w:val="af5"/>
        <w:spacing w:after="0"/>
        <w:rPr>
          <w:rFonts w:eastAsia="宋体"/>
          <w:i/>
          <w:iCs/>
          <w:sz w:val="22"/>
          <w:szCs w:val="22"/>
          <w:lang w:eastAsia="zh-CN"/>
        </w:rPr>
      </w:pPr>
      <w:r w:rsidRPr="007C4E3E">
        <w:rPr>
          <w:rFonts w:eastAsia="宋体"/>
          <w:i/>
          <w:sz w:val="22"/>
          <w:szCs w:val="22"/>
          <w:lang w:eastAsia="zh-CN"/>
        </w:rPr>
        <w:t>Adopt the response</w:t>
      </w:r>
      <w:r w:rsidRPr="007C4E3E">
        <w:rPr>
          <w:rFonts w:eastAsia="宋体"/>
          <w:i/>
          <w:iCs/>
          <w:sz w:val="22"/>
          <w:szCs w:val="22"/>
          <w:lang w:eastAsia="zh-CN"/>
        </w:rPr>
        <w:t xml:space="preserve"> below to RAN2’s question 1b: </w:t>
      </w:r>
    </w:p>
    <w:p w14:paraId="502B49E4" w14:textId="77777777" w:rsidR="004857E1" w:rsidRPr="007C4E3E" w:rsidRDefault="004857E1" w:rsidP="004857E1">
      <w:pPr>
        <w:pStyle w:val="a4"/>
        <w:numPr>
          <w:ilvl w:val="0"/>
          <w:numId w:val="39"/>
        </w:numPr>
        <w:overflowPunct w:val="0"/>
        <w:autoSpaceDE w:val="0"/>
        <w:autoSpaceDN w:val="0"/>
        <w:adjustRightInd w:val="0"/>
        <w:spacing w:after="0"/>
        <w:jc w:val="left"/>
        <w:textAlignment w:val="baseline"/>
        <w:rPr>
          <w:rFonts w:eastAsia="宋体"/>
          <w:i/>
          <w:iCs/>
        </w:rPr>
      </w:pPr>
      <w:r w:rsidRPr="007C4E3E">
        <w:rPr>
          <w:rFonts w:eastAsia="宋体"/>
          <w:i/>
          <w:iCs/>
        </w:rPr>
        <w:t>For an UL HARQ process with HARQ mode B for eMTC UEs, the minimum time between the end of PUSCH transmission and the start of MPDCCH monitoring for the same HARQ process is 1 ms for Type B half-duplex FDD operation, and there is no minimum time restriction between the end of PUSCH transmission and the start of MPDCCH monitoring for full-duplex FDD operation.</w:t>
      </w:r>
    </w:p>
    <w:p w14:paraId="27BE90A3" w14:textId="77777777" w:rsidR="004857E1" w:rsidRPr="007C4E3E" w:rsidRDefault="004857E1" w:rsidP="004857E1">
      <w:pPr>
        <w:pStyle w:val="af5"/>
        <w:spacing w:after="0"/>
        <w:rPr>
          <w:rFonts w:eastAsia="宋体"/>
          <w:i/>
          <w:sz w:val="22"/>
          <w:szCs w:val="22"/>
          <w:lang w:eastAsia="zh-CN"/>
        </w:rPr>
      </w:pPr>
    </w:p>
    <w:p w14:paraId="54BF8AC4" w14:textId="77777777" w:rsidR="004857E1" w:rsidRPr="007C4E3E" w:rsidRDefault="004857E1" w:rsidP="004857E1">
      <w:pPr>
        <w:pStyle w:val="af5"/>
        <w:spacing w:after="0"/>
        <w:rPr>
          <w:rFonts w:eastAsia="宋体"/>
          <w:b/>
          <w:i/>
          <w:sz w:val="22"/>
          <w:szCs w:val="22"/>
          <w:lang w:eastAsia="zh-CN"/>
        </w:rPr>
      </w:pPr>
      <w:r w:rsidRPr="007C4E3E">
        <w:rPr>
          <w:rFonts w:eastAsia="宋体"/>
          <w:b/>
          <w:i/>
          <w:sz w:val="22"/>
          <w:szCs w:val="22"/>
          <w:highlight w:val="green"/>
          <w:lang w:eastAsia="zh-CN"/>
        </w:rPr>
        <w:t>Agreement</w:t>
      </w:r>
    </w:p>
    <w:p w14:paraId="533B5AF7" w14:textId="77777777" w:rsidR="004857E1" w:rsidRPr="007C4E3E" w:rsidRDefault="004857E1" w:rsidP="004857E1">
      <w:pPr>
        <w:pStyle w:val="af5"/>
        <w:spacing w:after="0"/>
        <w:rPr>
          <w:rFonts w:eastAsia="宋体"/>
          <w:i/>
          <w:iCs/>
          <w:sz w:val="22"/>
          <w:szCs w:val="22"/>
          <w:lang w:eastAsia="zh-CN"/>
        </w:rPr>
      </w:pPr>
      <w:r w:rsidRPr="007C4E3E">
        <w:rPr>
          <w:rFonts w:eastAsia="宋体"/>
          <w:i/>
          <w:sz w:val="22"/>
          <w:szCs w:val="22"/>
          <w:lang w:eastAsia="zh-CN"/>
        </w:rPr>
        <w:t>Adopt the response</w:t>
      </w:r>
      <w:r w:rsidRPr="007C4E3E">
        <w:rPr>
          <w:rFonts w:eastAsia="宋体"/>
          <w:i/>
          <w:iCs/>
          <w:sz w:val="22"/>
          <w:szCs w:val="22"/>
          <w:lang w:eastAsia="zh-CN"/>
        </w:rPr>
        <w:t xml:space="preserve"> below to RAN2’s question 2: </w:t>
      </w:r>
    </w:p>
    <w:p w14:paraId="271DA6CD" w14:textId="77777777" w:rsidR="004857E1" w:rsidRPr="007C4E3E" w:rsidRDefault="004857E1" w:rsidP="004857E1">
      <w:pPr>
        <w:pStyle w:val="a4"/>
        <w:numPr>
          <w:ilvl w:val="0"/>
          <w:numId w:val="39"/>
        </w:numPr>
        <w:overflowPunct w:val="0"/>
        <w:autoSpaceDE w:val="0"/>
        <w:autoSpaceDN w:val="0"/>
        <w:adjustRightInd w:val="0"/>
        <w:spacing w:after="0"/>
        <w:jc w:val="left"/>
        <w:textAlignment w:val="baseline"/>
        <w:rPr>
          <w:rFonts w:eastAsia="宋体"/>
          <w:i/>
          <w:iCs/>
        </w:rPr>
      </w:pPr>
      <w:r w:rsidRPr="007C4E3E">
        <w:rPr>
          <w:rFonts w:eastAsia="宋体"/>
          <w:i/>
          <w:iCs/>
        </w:rPr>
        <w:t>Whether/how to support</w:t>
      </w:r>
      <w:r w:rsidRPr="007C4E3E">
        <w:rPr>
          <w:i/>
        </w:rPr>
        <w:t xml:space="preserve"> case 1, case 2 and/or case 3 for </w:t>
      </w:r>
      <w:r w:rsidRPr="007C4E3E">
        <w:rPr>
          <w:rFonts w:eastAsia="宋体"/>
          <w:i/>
          <w:iCs/>
        </w:rPr>
        <w:t>UL multiple TB scheduling for eMTC and NB-IoT is transparent to RAN1 and can be left to RAN2 decision.</w:t>
      </w:r>
    </w:p>
    <w:p w14:paraId="070D8205" w14:textId="77777777" w:rsidR="00014901" w:rsidRPr="004857E1" w:rsidRDefault="00014901" w:rsidP="00D179A2">
      <w:pPr>
        <w:rPr>
          <w:i/>
        </w:rPr>
      </w:pPr>
    </w:p>
    <w:p w14:paraId="2D0B3F1B" w14:textId="62197E42" w:rsidR="00D179A2" w:rsidRPr="004857E1" w:rsidRDefault="00D179A2" w:rsidP="00D179A2">
      <w:r w:rsidRPr="004857E1">
        <w:t xml:space="preserve">In this contribution, we will discuss the potential approaches to disable the HARQ feedback for IoT NTN. </w:t>
      </w:r>
    </w:p>
    <w:p w14:paraId="0E40E890" w14:textId="7F9179BF" w:rsidR="000562DA" w:rsidRPr="00BD27F6" w:rsidRDefault="0082773D" w:rsidP="00BD27F6">
      <w:pPr>
        <w:pStyle w:val="1"/>
      </w:pPr>
      <w:r w:rsidRPr="00B328F2">
        <w:t xml:space="preserve">Discussion </w:t>
      </w:r>
    </w:p>
    <w:p w14:paraId="06E39BD7" w14:textId="77777777" w:rsidR="00442CEC" w:rsidRDefault="00442CEC" w:rsidP="00BE7099">
      <w:pPr>
        <w:pStyle w:val="2"/>
      </w:pPr>
      <w:r w:rsidRPr="00442CEC">
        <w:t xml:space="preserve">Disabling of HARQ feedback </w:t>
      </w:r>
      <w:r>
        <w:t xml:space="preserve">for IoT NTN </w:t>
      </w:r>
    </w:p>
    <w:p w14:paraId="42D556AE" w14:textId="767FC0FD" w:rsidR="00A94443" w:rsidRDefault="00DB0E0F" w:rsidP="0008682A">
      <w:r>
        <w:t>Unlike</w:t>
      </w:r>
      <w:r w:rsidR="00CC6F34">
        <w:t xml:space="preserve"> NR UEs, the </w:t>
      </w:r>
      <w:r w:rsidR="00CC6F34" w:rsidRPr="00CC6F34">
        <w:t>main characteristics of an IoT device</w:t>
      </w:r>
      <w:r w:rsidR="00CC6F34">
        <w:t xml:space="preserve"> considered in IoT NTN include</w:t>
      </w:r>
      <w:r w:rsidR="00CC6F34" w:rsidRPr="00CC6F34">
        <w:t xml:space="preserve"> low complexity, low cost, low power consumption and low throughput</w:t>
      </w:r>
      <w:r w:rsidR="00CC6F34">
        <w:t xml:space="preserve">. And the </w:t>
      </w:r>
      <w:r w:rsidR="00CC6F34" w:rsidRPr="00CC6F34">
        <w:t>key requirements of IoT services are extended coverage, delay-tolerant and infrequent data transmissions, and support of massive communications.</w:t>
      </w:r>
      <w:r w:rsidR="00CC6F34">
        <w:t xml:space="preserve"> </w:t>
      </w:r>
      <w:r w:rsidR="005F4ADD">
        <w:t>To disable</w:t>
      </w:r>
      <w:r w:rsidR="00B33809">
        <w:t xml:space="preserve"> the </w:t>
      </w:r>
      <w:r w:rsidR="005F4ADD">
        <w:t>HARQ feedback</w:t>
      </w:r>
      <w:r w:rsidR="003F3240">
        <w:t xml:space="preserve"> for IoT device</w:t>
      </w:r>
      <w:r w:rsidR="00B33809">
        <w:t>s</w:t>
      </w:r>
      <w:r w:rsidR="005F4ADD">
        <w:t xml:space="preserve">, </w:t>
      </w:r>
      <w:r w:rsidR="00134E10">
        <w:t xml:space="preserve">there </w:t>
      </w:r>
      <w:r w:rsidR="00926535">
        <w:rPr>
          <w:rFonts w:hint="eastAsia"/>
        </w:rPr>
        <w:t>are</w:t>
      </w:r>
      <w:r w:rsidR="00926535">
        <w:t xml:space="preserve"> several potential solutions could be </w:t>
      </w:r>
      <w:r w:rsidR="005F4ADD">
        <w:t xml:space="preserve">considered. </w:t>
      </w:r>
    </w:p>
    <w:p w14:paraId="36F141BA" w14:textId="39F35480" w:rsidR="00A94443" w:rsidRDefault="00CC6F34" w:rsidP="0008682A">
      <w:r>
        <w:t>To avoid the potential disadvantages of configuring the HARQ feedback per HARQ process using RRC signalling</w:t>
      </w:r>
      <w:r w:rsidR="0086222B">
        <w:t xml:space="preserve"> as observed above</w:t>
      </w:r>
      <w:r>
        <w:t xml:space="preserve">, </w:t>
      </w:r>
      <w:r w:rsidR="00B33809">
        <w:t xml:space="preserve">one potential solution is </w:t>
      </w:r>
      <w:r>
        <w:t xml:space="preserve">to </w:t>
      </w:r>
      <w:r w:rsidR="0040718C">
        <w:t>indicate</w:t>
      </w:r>
      <w:r>
        <w:t xml:space="preserve"> the HARQ feedback </w:t>
      </w:r>
      <w:r w:rsidR="0040718C">
        <w:t>through DCI</w:t>
      </w:r>
      <w:r w:rsidR="0086222B">
        <w:t xml:space="preserve">. </w:t>
      </w:r>
      <w:r w:rsidR="00B33809">
        <w:t xml:space="preserve">This method provides a more flexible HARQ feedback configuration for IoT devices. </w:t>
      </w:r>
      <w:r w:rsidR="001D6BC9">
        <w:t>And t</w:t>
      </w:r>
      <w:r w:rsidR="0086222B">
        <w:t xml:space="preserve">he indication of HARQ feedback enabling/disabling could be carried by </w:t>
      </w:r>
      <w:r>
        <w:t>DCI</w:t>
      </w:r>
      <w:r w:rsidR="001C65DE">
        <w:t xml:space="preserve"> especially for NB-IoT</w:t>
      </w:r>
      <w:r w:rsidR="0006178E">
        <w:t xml:space="preserve"> with only one or two HARQ process</w:t>
      </w:r>
      <w:r>
        <w:t xml:space="preserve">. </w:t>
      </w:r>
      <w:r w:rsidR="001D6BC9">
        <w:t>Furthermore, o</w:t>
      </w:r>
      <w:r w:rsidR="00E3225E" w:rsidRPr="00533372">
        <w:t xml:space="preserve">ne bit </w:t>
      </w:r>
      <w:r w:rsidR="00E3225E">
        <w:t>can be</w:t>
      </w:r>
      <w:r w:rsidR="00E3225E" w:rsidRPr="00533372">
        <w:t xml:space="preserve"> </w:t>
      </w:r>
      <w:r w:rsidR="00E3225E">
        <w:t>defin</w:t>
      </w:r>
      <w:r w:rsidR="00E3225E" w:rsidRPr="00533372">
        <w:t xml:space="preserve">ed in the DCI to indicate whether the HARQ feedback </w:t>
      </w:r>
      <w:r w:rsidR="00E3225E">
        <w:t xml:space="preserve">is </w:t>
      </w:r>
      <w:r w:rsidR="00E3225E" w:rsidRPr="00533372">
        <w:t xml:space="preserve">enabled or disabled for this scheduled </w:t>
      </w:r>
      <w:r w:rsidR="00E3225E">
        <w:t>HARQ process</w:t>
      </w:r>
      <w:r w:rsidR="00E3225E" w:rsidRPr="00533372">
        <w:t>.</w:t>
      </w:r>
      <w:r w:rsidR="00E3225E">
        <w:t xml:space="preserve"> Moreover, t</w:t>
      </w:r>
      <w:r w:rsidR="0086222B">
        <w:t xml:space="preserve">he agreement in NR NTN could be still </w:t>
      </w:r>
      <w:r w:rsidR="00DB0E0F">
        <w:t>applicable</w:t>
      </w:r>
      <w:r w:rsidR="0086222B">
        <w:t xml:space="preserve"> as a baseline in IoT NTN</w:t>
      </w:r>
      <w:r w:rsidR="00203644">
        <w:t xml:space="preserve"> </w:t>
      </w:r>
      <w:r w:rsidR="00203644" w:rsidRPr="00203644">
        <w:t>especially for eMTC with more than one HARQ processes</w:t>
      </w:r>
      <w:r w:rsidR="0086222B">
        <w:t xml:space="preserve">. </w:t>
      </w:r>
      <w:r w:rsidR="007E212C">
        <w:t xml:space="preserve">However, instead of using RRC signalling to configure the HARQ feedback, </w:t>
      </w:r>
      <w:r w:rsidR="002C265E">
        <w:rPr>
          <w:rFonts w:hint="eastAsia"/>
        </w:rPr>
        <w:t>t</w:t>
      </w:r>
      <w:r w:rsidR="0086222B">
        <w:t xml:space="preserve">he RRC signalling </w:t>
      </w:r>
      <w:r w:rsidR="007E212C">
        <w:t>in IoT NTN might be used to</w:t>
      </w:r>
      <w:r w:rsidR="0086222B">
        <w:t xml:space="preserve"> configure whether DCI will indicate </w:t>
      </w:r>
      <w:r w:rsidR="00141574" w:rsidRPr="00141574">
        <w:t xml:space="preserve">HARQ feedback </w:t>
      </w:r>
      <w:r w:rsidR="00141574" w:rsidRPr="00141574">
        <w:lastRenderedPageBreak/>
        <w:t>configuration</w:t>
      </w:r>
      <w:r w:rsidR="00141574">
        <w:t xml:space="preserve"> or not. </w:t>
      </w:r>
      <w:r w:rsidR="00304F77">
        <w:t xml:space="preserve">And </w:t>
      </w:r>
      <w:r w:rsidR="00CC79E2">
        <w:t xml:space="preserve">we think </w:t>
      </w:r>
      <w:r w:rsidR="00304F77">
        <w:t xml:space="preserve">the DCI can </w:t>
      </w:r>
      <w:r w:rsidR="00304F77" w:rsidRPr="00304F77">
        <w:t>override</w:t>
      </w:r>
      <w:r w:rsidR="00333B9B">
        <w:t xml:space="preserve"> the RRC</w:t>
      </w:r>
      <w:r w:rsidR="007C27B7">
        <w:t xml:space="preserve"> configuration for disabled HARQ feedback</w:t>
      </w:r>
      <w:r w:rsidR="00CC79E2">
        <w:t xml:space="preserve"> for any </w:t>
      </w:r>
      <w:r w:rsidR="00C21A3D" w:rsidRPr="0008682A">
        <w:t>HARQ process</w:t>
      </w:r>
      <w:r w:rsidR="00C21A3D">
        <w:t xml:space="preserve"> without </w:t>
      </w:r>
      <w:r w:rsidR="00CC79E2">
        <w:t>restriction</w:t>
      </w:r>
      <w:r w:rsidR="00DB0E0F">
        <w:t xml:space="preserve">. </w:t>
      </w:r>
    </w:p>
    <w:p w14:paraId="0FFEF32E" w14:textId="24AFECD4" w:rsidR="00CE1AA8" w:rsidRDefault="00E3225E" w:rsidP="0008682A">
      <w:r>
        <w:t xml:space="preserve">In addition to the above solution, </w:t>
      </w:r>
      <w:r w:rsidR="00B44293">
        <w:t xml:space="preserve">to save the DCI overhead </w:t>
      </w:r>
      <w:r w:rsidR="007475EE" w:rsidRPr="0008682A">
        <w:t xml:space="preserve">a special </w:t>
      </w:r>
      <w:r w:rsidR="00CA100E">
        <w:t xml:space="preserve">value </w:t>
      </w:r>
      <w:r w:rsidR="007475EE" w:rsidRPr="0008682A">
        <w:t>for</w:t>
      </w:r>
      <w:r w:rsidR="003F3240">
        <w:t xml:space="preserve"> </w:t>
      </w:r>
      <w:r w:rsidR="003F3240" w:rsidRPr="003F3240">
        <w:t xml:space="preserve">TPC command or </w:t>
      </w:r>
      <w:r w:rsidR="003F3240" w:rsidRPr="003F3240">
        <w:rPr>
          <w:lang w:val="x-none"/>
        </w:rPr>
        <w:t xml:space="preserve">HARQ-ACK resource offset field </w:t>
      </w:r>
      <w:r w:rsidR="003F3240" w:rsidRPr="003F3240">
        <w:t>or other field indication</w:t>
      </w:r>
      <w:r w:rsidR="00CA100E">
        <w:t xml:space="preserve"> </w:t>
      </w:r>
      <w:r w:rsidR="007475EE" w:rsidRPr="0008682A">
        <w:t xml:space="preserve">can be </w:t>
      </w:r>
      <w:r w:rsidR="006E4BFC">
        <w:t>re</w:t>
      </w:r>
      <w:r w:rsidR="007475EE" w:rsidRPr="0008682A">
        <w:t xml:space="preserve">used </w:t>
      </w:r>
      <w:r w:rsidR="006E4BFC">
        <w:t xml:space="preserve">or </w:t>
      </w:r>
      <w:r w:rsidR="006E4BFC" w:rsidRPr="006E4BFC">
        <w:t>reinterpret</w:t>
      </w:r>
      <w:r w:rsidR="006E4BFC">
        <w:t xml:space="preserve">ed </w:t>
      </w:r>
      <w:r w:rsidR="007475EE" w:rsidRPr="0008682A">
        <w:t xml:space="preserve">to tell UE that HARQ-ACK for the scheduled PDSCH is not feedback for this HARQ process. </w:t>
      </w:r>
      <w:r w:rsidR="00086630">
        <w:t xml:space="preserve">So </w:t>
      </w:r>
      <w:r w:rsidR="00F56A0D">
        <w:t xml:space="preserve">the </w:t>
      </w:r>
      <w:r w:rsidR="00086630">
        <w:t>working assumption made in the last meeting can be confirmed.</w:t>
      </w:r>
    </w:p>
    <w:p w14:paraId="3370BA36" w14:textId="09F6AF99" w:rsidR="006E4BFC" w:rsidRPr="00607CC6" w:rsidRDefault="00E3225E" w:rsidP="003123B8">
      <w:pPr>
        <w:rPr>
          <w:b/>
          <w:bCs/>
          <w:i/>
        </w:rPr>
      </w:pPr>
      <w:r w:rsidRPr="00607CC6">
        <w:rPr>
          <w:b/>
          <w:bCs/>
          <w:i/>
        </w:rPr>
        <w:t>Proposal 1</w:t>
      </w:r>
      <w:r w:rsidR="002874F4">
        <w:rPr>
          <w:b/>
          <w:bCs/>
          <w:i/>
        </w:rPr>
        <w:t>:</w:t>
      </w:r>
      <w:r w:rsidR="00232E83" w:rsidRPr="00232E83">
        <w:t xml:space="preserve"> </w:t>
      </w:r>
      <w:r w:rsidR="00232E83" w:rsidRPr="00232E83">
        <w:rPr>
          <w:b/>
          <w:bCs/>
          <w:i/>
        </w:rPr>
        <w:t>For DCI-based overridden mechanism/indication,</w:t>
      </w:r>
      <w:r w:rsidR="00676DFE">
        <w:rPr>
          <w:b/>
          <w:bCs/>
          <w:i/>
        </w:rPr>
        <w:t xml:space="preserve"> </w:t>
      </w:r>
      <w:r w:rsidR="005C30F3">
        <w:rPr>
          <w:b/>
          <w:bCs/>
          <w:i/>
        </w:rPr>
        <w:t>t</w:t>
      </w:r>
      <w:r w:rsidR="003123B8">
        <w:rPr>
          <w:b/>
          <w:bCs/>
          <w:i/>
        </w:rPr>
        <w:t>he work</w:t>
      </w:r>
      <w:r w:rsidR="000F7080">
        <w:rPr>
          <w:b/>
          <w:bCs/>
          <w:i/>
        </w:rPr>
        <w:t>ing</w:t>
      </w:r>
      <w:r w:rsidR="003123B8">
        <w:rPr>
          <w:b/>
          <w:bCs/>
          <w:i/>
        </w:rPr>
        <w:t xml:space="preserve"> assumption </w:t>
      </w:r>
      <w:r w:rsidR="006D5252">
        <w:rPr>
          <w:b/>
          <w:bCs/>
          <w:i/>
        </w:rPr>
        <w:t xml:space="preserve">reached in RAN1#113 </w:t>
      </w:r>
      <w:r w:rsidR="00F56A0D">
        <w:rPr>
          <w:b/>
          <w:bCs/>
          <w:i/>
        </w:rPr>
        <w:t xml:space="preserve">meeting </w:t>
      </w:r>
      <w:r w:rsidR="003123B8">
        <w:rPr>
          <w:b/>
          <w:bCs/>
          <w:i/>
        </w:rPr>
        <w:t>can be confirmed.</w:t>
      </w:r>
    </w:p>
    <w:p w14:paraId="53B0B5BA" w14:textId="20F4F798" w:rsidR="00074118" w:rsidRPr="00074118" w:rsidRDefault="00030E10" w:rsidP="00074118">
      <w:pPr>
        <w:rPr>
          <w:lang w:val="en-US"/>
        </w:rPr>
      </w:pPr>
      <w:r>
        <w:rPr>
          <w:lang w:val="en-US"/>
        </w:rPr>
        <w:t xml:space="preserve">Furthermore, for DCI indication </w:t>
      </w:r>
      <w:r w:rsidR="005D4340">
        <w:rPr>
          <w:lang w:val="en-US"/>
        </w:rPr>
        <w:t xml:space="preserve">disabled HARQ feedback, </w:t>
      </w:r>
      <w:r>
        <w:t>the</w:t>
      </w:r>
      <w:r w:rsidR="00A94443">
        <w:t xml:space="preserve"> </w:t>
      </w:r>
      <w:r w:rsidR="00074118" w:rsidRPr="00074118">
        <w:rPr>
          <w:lang w:val="en-US"/>
        </w:rPr>
        <w:t xml:space="preserve">configured or predefined M HARQ feedback processes can be divided into N groups, </w:t>
      </w:r>
      <w:r w:rsidR="00A3106A">
        <w:rPr>
          <w:lang w:val="en-US"/>
        </w:rPr>
        <w:t xml:space="preserve">and </w:t>
      </w:r>
      <w:r w:rsidR="00074118" w:rsidRPr="00074118">
        <w:rPr>
          <w:lang w:val="en-US"/>
        </w:rPr>
        <w:t xml:space="preserve">eNB can disable HARQ-ACK feedback for one group through DCI dynamically. </w:t>
      </w:r>
      <w:r w:rsidR="00A3106A">
        <w:rPr>
          <w:lang w:val="en-US"/>
        </w:rPr>
        <w:t xml:space="preserve">Or </w:t>
      </w:r>
      <w:r w:rsidR="006E6592">
        <w:t>multiple</w:t>
      </w:r>
      <w:r w:rsidR="00A3106A" w:rsidRPr="00A3106A">
        <w:t xml:space="preserve"> HARQ process groups can be configured through RRC, </w:t>
      </w:r>
      <w:r w:rsidR="00EF426E">
        <w:t xml:space="preserve">and </w:t>
      </w:r>
      <w:r w:rsidR="00A3106A" w:rsidRPr="00A3106A">
        <w:t xml:space="preserve">each HARQ process belongs to one or more HARQ process </w:t>
      </w:r>
      <w:r w:rsidR="00C50503">
        <w:t>groups</w:t>
      </w:r>
      <w:r w:rsidR="00A3106A" w:rsidRPr="00A3106A">
        <w:t>.</w:t>
      </w:r>
      <w:r w:rsidR="00EF426E">
        <w:t xml:space="preserve"> And o</w:t>
      </w:r>
      <w:r w:rsidR="00A3106A" w:rsidRPr="00A3106A">
        <w:t xml:space="preserve">ne or multiple HARQ process </w:t>
      </w:r>
      <w:r w:rsidR="00C50503">
        <w:t>groups</w:t>
      </w:r>
      <w:r w:rsidR="00A3106A" w:rsidRPr="00A3106A">
        <w:t xml:space="preserve"> can be triggered for HARQ feedback disabled by a DCI. Such as a group ID or </w:t>
      </w:r>
      <w:r w:rsidR="006E6592">
        <w:t xml:space="preserve">a </w:t>
      </w:r>
      <w:r w:rsidR="00A3106A" w:rsidRPr="00A3106A">
        <w:t xml:space="preserve">bitmap </w:t>
      </w:r>
      <w:r w:rsidR="006E6592">
        <w:t xml:space="preserve">indication </w:t>
      </w:r>
      <w:r w:rsidR="00A3106A" w:rsidRPr="00A3106A">
        <w:t>for each HARQ process group can be included in the DCI to tell UE which HARQ process group(s) HARQ feedback disabled.</w:t>
      </w:r>
    </w:p>
    <w:p w14:paraId="729B72EB" w14:textId="47987AD4" w:rsidR="006A5893" w:rsidRDefault="006A5893" w:rsidP="002B2B58">
      <w:r>
        <w:t xml:space="preserve">Furthermore, </w:t>
      </w:r>
      <w:r w:rsidRPr="006A5893">
        <w:t xml:space="preserve">criteria for NW </w:t>
      </w:r>
      <w:r w:rsidR="00D30C22">
        <w:t>configur</w:t>
      </w:r>
      <w:r w:rsidR="00EF426E">
        <w:t>ation</w:t>
      </w:r>
      <w:r w:rsidRPr="006A5893">
        <w:t xml:space="preserve"> enabled and disabled HARQ-ACK feedback switch</w:t>
      </w:r>
      <w:r w:rsidR="00D30C22">
        <w:t>ing</w:t>
      </w:r>
      <w:r w:rsidRPr="006A5893">
        <w:t xml:space="preserve"> </w:t>
      </w:r>
      <w:r>
        <w:t>c</w:t>
      </w:r>
      <w:r w:rsidRPr="006A5893">
        <w:t>ould be specified</w:t>
      </w:r>
      <w:r>
        <w:t>.</w:t>
      </w:r>
      <w:r w:rsidR="00BF26D0">
        <w:t xml:space="preserve"> Such as based on </w:t>
      </w:r>
      <w:r w:rsidR="00BF26D0" w:rsidRPr="00BF26D0">
        <w:t>UE reported information (</w:t>
      </w:r>
      <w:r w:rsidR="00BF26D0">
        <w:t xml:space="preserve">e.g. </w:t>
      </w:r>
      <w:r w:rsidR="00BF26D0" w:rsidRPr="00BF26D0">
        <w:t xml:space="preserve">the </w:t>
      </w:r>
      <w:r w:rsidR="003528DE" w:rsidRPr="003528DE">
        <w:t>consecutive</w:t>
      </w:r>
      <w:r w:rsidR="003528DE">
        <w:t xml:space="preserve"> </w:t>
      </w:r>
      <w:r w:rsidR="00BF26D0" w:rsidRPr="00BF26D0">
        <w:t>detection failure</w:t>
      </w:r>
      <w:r w:rsidR="007A1409">
        <w:t xml:space="preserve"> or </w:t>
      </w:r>
      <w:r w:rsidR="007A1409" w:rsidRPr="007A1409">
        <w:t>success</w:t>
      </w:r>
      <w:r w:rsidR="00BF26D0" w:rsidRPr="00BF26D0">
        <w:t xml:space="preserve"> number, </w:t>
      </w:r>
      <w:r w:rsidR="009B770C">
        <w:t xml:space="preserve">ACK/NACK number, </w:t>
      </w:r>
      <w:r w:rsidR="00BF26D0" w:rsidRPr="00BF26D0">
        <w:t>buffer status</w:t>
      </w:r>
      <w:r w:rsidR="00A80A29">
        <w:t xml:space="preserve">, or </w:t>
      </w:r>
      <w:r w:rsidR="007475EE" w:rsidRPr="00A80A29">
        <w:rPr>
          <w:lang w:val="en-US"/>
        </w:rPr>
        <w:t>RSSI/RSRP/RSRQ</w:t>
      </w:r>
      <w:r w:rsidR="00BF26D0" w:rsidRPr="00BF26D0">
        <w:t>)</w:t>
      </w:r>
      <w:r w:rsidR="00A80A29">
        <w:t xml:space="preserve">, or </w:t>
      </w:r>
      <w:r w:rsidR="00A80A29" w:rsidRPr="00A80A29">
        <w:t>based on some predefined timer</w:t>
      </w:r>
      <w:r w:rsidR="00D30C22">
        <w:t>.</w:t>
      </w:r>
    </w:p>
    <w:p w14:paraId="260A451F" w14:textId="2CC22BE2" w:rsidR="00A14553" w:rsidRPr="00607CC6" w:rsidRDefault="00A14553" w:rsidP="00CE333A">
      <w:pPr>
        <w:rPr>
          <w:b/>
          <w:bCs/>
          <w:i/>
        </w:rPr>
      </w:pPr>
      <w:bookmarkStart w:id="1" w:name="_Ref86257114"/>
      <w:r w:rsidRPr="00607CC6">
        <w:rPr>
          <w:b/>
          <w:bCs/>
          <w:i/>
        </w:rPr>
        <w:t xml:space="preserve">Proposal </w:t>
      </w:r>
      <w:r w:rsidR="0023155C">
        <w:rPr>
          <w:b/>
          <w:bCs/>
          <w:i/>
        </w:rPr>
        <w:t>2</w:t>
      </w:r>
      <w:r w:rsidR="002874F4">
        <w:rPr>
          <w:b/>
          <w:bCs/>
          <w:i/>
        </w:rPr>
        <w:t>:</w:t>
      </w:r>
      <w:r w:rsidR="00651658">
        <w:rPr>
          <w:b/>
          <w:bCs/>
          <w:i/>
        </w:rPr>
        <w:t xml:space="preserve"> </w:t>
      </w:r>
      <w:r w:rsidRPr="00607CC6">
        <w:rPr>
          <w:b/>
          <w:i/>
        </w:rPr>
        <w:t>One or multiple HARQ process group can be triggered for HARQ feedback disabled by DCI.</w:t>
      </w:r>
    </w:p>
    <w:p w14:paraId="3BA3C81A" w14:textId="6DEC4932" w:rsidR="00CE333A" w:rsidRPr="00607CC6" w:rsidRDefault="00CE333A" w:rsidP="00CE333A">
      <w:pPr>
        <w:rPr>
          <w:b/>
          <w:bCs/>
          <w:i/>
          <w:lang w:eastAsia="ko-KR"/>
        </w:rPr>
      </w:pPr>
      <w:r w:rsidRPr="00607CC6">
        <w:rPr>
          <w:b/>
          <w:bCs/>
          <w:i/>
        </w:rPr>
        <w:t xml:space="preserve">Proposal </w:t>
      </w:r>
      <w:r w:rsidR="0023155C">
        <w:rPr>
          <w:b/>
          <w:bCs/>
          <w:i/>
        </w:rPr>
        <w:t>3</w:t>
      </w:r>
      <w:r w:rsidR="002874F4">
        <w:rPr>
          <w:b/>
          <w:bCs/>
          <w:i/>
        </w:rPr>
        <w:t>:</w:t>
      </w:r>
      <w:r w:rsidR="00651658">
        <w:rPr>
          <w:b/>
          <w:bCs/>
          <w:i/>
        </w:rPr>
        <w:t xml:space="preserve"> </w:t>
      </w:r>
      <w:r w:rsidRPr="00607CC6">
        <w:rPr>
          <w:b/>
          <w:i/>
        </w:rPr>
        <w:t>A criteria for NW configuration enabled and disabled HARQ-ACK feedback switching could be specified.</w:t>
      </w:r>
    </w:p>
    <w:bookmarkEnd w:id="1"/>
    <w:p w14:paraId="33C4F0C4" w14:textId="77777777" w:rsidR="00EA79A4" w:rsidRPr="00EA79A4" w:rsidRDefault="00EA79A4" w:rsidP="00EA79A4">
      <w:pPr>
        <w:pStyle w:val="2"/>
        <w:ind w:left="576"/>
      </w:pPr>
      <w:r w:rsidRPr="00EA79A4">
        <w:t>HARQ bundling for eMTC HD-FDD</w:t>
      </w:r>
    </w:p>
    <w:p w14:paraId="17AD16DD" w14:textId="2601608D" w:rsidR="00D81CB5" w:rsidRPr="00747ACF" w:rsidRDefault="002C1F06" w:rsidP="00747ACF">
      <w:pPr>
        <w:rPr>
          <w:lang w:val="en-US"/>
        </w:rPr>
      </w:pPr>
      <w:r w:rsidRPr="00747ACF">
        <w:rPr>
          <w:lang w:val="en-US"/>
        </w:rPr>
        <w:t>HARQ bundling was introduced for eMTC. The design of disablement of HARQ feedback should handle the case where HARQ feedback is bundled and HARQ feedback is enabled for some HARQ processes and is disabled for others.</w:t>
      </w:r>
      <w:r w:rsidR="00B97685">
        <w:rPr>
          <w:lang w:val="en-US"/>
        </w:rPr>
        <w:t xml:space="preserve"> </w:t>
      </w:r>
      <w:r w:rsidR="00B15520">
        <w:rPr>
          <w:lang w:val="en-US"/>
        </w:rPr>
        <w:t xml:space="preserve">Besides </w:t>
      </w:r>
      <w:r w:rsidR="00B97685" w:rsidRPr="00747ACF">
        <w:rPr>
          <w:lang w:val="en-US"/>
        </w:rPr>
        <w:t>HARQ bundling</w:t>
      </w:r>
      <w:r w:rsidR="00B97685">
        <w:rPr>
          <w:lang w:val="en-US"/>
        </w:rPr>
        <w:t xml:space="preserve"> can be performed both in single TB scheduling and multiple TB scheduling cases</w:t>
      </w:r>
      <w:r w:rsidR="00271554">
        <w:rPr>
          <w:lang w:val="en-US"/>
        </w:rPr>
        <w:t xml:space="preserve"> and it should be separately discussed</w:t>
      </w:r>
      <w:r w:rsidR="00B97685">
        <w:rPr>
          <w:lang w:val="en-US"/>
        </w:rPr>
        <w:t>.</w:t>
      </w:r>
    </w:p>
    <w:p w14:paraId="7E112C9D" w14:textId="6FA31737" w:rsidR="00134894" w:rsidRDefault="00D419AE" w:rsidP="004D01CC">
      <w:r>
        <w:t xml:space="preserve">For </w:t>
      </w:r>
      <w:r w:rsidRPr="00D419AE">
        <w:t>single TB scheduled by single DCI</w:t>
      </w:r>
      <w:r>
        <w:t>, HARQ bundling is not supported according to the conclusion in the last meeting.</w:t>
      </w:r>
      <w:r w:rsidRPr="00D419AE">
        <w:t xml:space="preserve"> </w:t>
      </w:r>
      <w:r w:rsidR="00B97685">
        <w:t xml:space="preserve">For multiple TB scheduling, </w:t>
      </w:r>
      <w:r w:rsidR="00B97685" w:rsidRPr="00B97685">
        <w:t xml:space="preserve">if the UE is configured with higher layer parameter </w:t>
      </w:r>
      <w:r w:rsidR="00B97685" w:rsidRPr="00B97685">
        <w:rPr>
          <w:i/>
          <w:iCs/>
        </w:rPr>
        <w:t>harq-AckBundling</w:t>
      </w:r>
      <w:r w:rsidR="00B97685" w:rsidRPr="00B97685">
        <w:t xml:space="preserve"> in </w:t>
      </w:r>
      <w:r w:rsidR="00B97685" w:rsidRPr="00B97685">
        <w:rPr>
          <w:i/>
          <w:iCs/>
        </w:rPr>
        <w:t>ce-PDSCH-MultiTB-Config</w:t>
      </w:r>
      <w:r w:rsidR="00392C95">
        <w:t xml:space="preserve">, </w:t>
      </w:r>
      <w:r w:rsidR="00B97685" w:rsidRPr="00B97685">
        <w:t xml:space="preserve">ACK </w:t>
      </w:r>
      <w:r w:rsidR="00D83E69">
        <w:t xml:space="preserve">should be </w:t>
      </w:r>
      <w:r w:rsidR="00B97685" w:rsidRPr="00B97685">
        <w:t>assumed for the disabled HARQ process when performing a logical AND operation in each TB bundle, and UE still generate M HARQ-ACK bits for M TB bundles</w:t>
      </w:r>
      <w:r w:rsidR="003A2837">
        <w:t xml:space="preserve"> for the multiple TB</w:t>
      </w:r>
      <w:r w:rsidR="00B97685" w:rsidRPr="00B97685">
        <w:t>.</w:t>
      </w:r>
      <w:r w:rsidR="00E4633F">
        <w:t xml:space="preserve"> </w:t>
      </w:r>
      <w:r w:rsidR="00134894" w:rsidRPr="00134894">
        <w:t xml:space="preserve">If the HARQ feedback for all the TB in a TB bundle group are disabled, then the </w:t>
      </w:r>
      <w:r w:rsidR="00134894" w:rsidRPr="00016B20">
        <w:rPr>
          <w:i/>
        </w:rPr>
        <w:t>harq-AckBundling</w:t>
      </w:r>
      <w:r w:rsidR="00134894" w:rsidRPr="00134894">
        <w:t xml:space="preserve"> is not applied to this TB bundle group even it is configured, and no HARQ feedback for this TB bundle. </w:t>
      </w:r>
      <w:r w:rsidR="00D502F8">
        <w:t xml:space="preserve">And </w:t>
      </w:r>
      <w:r w:rsidR="00D502F8" w:rsidRPr="00E4633F">
        <w:t>UE can discard the “Multi-TB HARQ-ACK bundling size” bit field in the DCI.</w:t>
      </w:r>
    </w:p>
    <w:p w14:paraId="52815032" w14:textId="75E9961E" w:rsidR="004D01CC" w:rsidRDefault="00D502F8" w:rsidP="004D01CC">
      <w:r w:rsidRPr="00607CC6">
        <w:rPr>
          <w:b/>
          <w:bCs/>
          <w:i/>
        </w:rPr>
        <w:t xml:space="preserve">Proposal </w:t>
      </w:r>
      <w:r w:rsidR="00D639F9">
        <w:rPr>
          <w:b/>
          <w:bCs/>
          <w:i/>
        </w:rPr>
        <w:t>4</w:t>
      </w:r>
      <w:r>
        <w:rPr>
          <w:b/>
          <w:bCs/>
          <w:i/>
        </w:rPr>
        <w:t xml:space="preserve">: </w:t>
      </w:r>
      <w:r w:rsidR="008517FF" w:rsidRPr="008517FF">
        <w:rPr>
          <w:b/>
          <w:bCs/>
          <w:i/>
        </w:rPr>
        <w:t>ACK is assumed for the disabled HARQ process when performing a logical AND operation</w:t>
      </w:r>
      <w:r w:rsidR="008517FF">
        <w:rPr>
          <w:b/>
          <w:bCs/>
          <w:i/>
        </w:rPr>
        <w:t xml:space="preserve"> if not all the bundled TB is disabled HARQ feedback</w:t>
      </w:r>
      <w:r w:rsidR="00B77012">
        <w:rPr>
          <w:b/>
          <w:bCs/>
          <w:i/>
        </w:rPr>
        <w:t xml:space="preserve"> for multiple TB</w:t>
      </w:r>
      <w:r w:rsidR="008517FF">
        <w:rPr>
          <w:b/>
          <w:bCs/>
          <w:i/>
        </w:rPr>
        <w:t xml:space="preserve">, and if all the bundled TB is disabled HARQ feedback, then </w:t>
      </w:r>
      <w:r w:rsidR="008517FF" w:rsidRPr="008517FF">
        <w:rPr>
          <w:b/>
          <w:bCs/>
          <w:i/>
        </w:rPr>
        <w:t>HARQ bundling</w:t>
      </w:r>
      <w:r w:rsidR="008517FF">
        <w:rPr>
          <w:b/>
          <w:bCs/>
          <w:i/>
        </w:rPr>
        <w:t xml:space="preserve"> function will not applied even it </w:t>
      </w:r>
      <w:r w:rsidR="00296737">
        <w:rPr>
          <w:b/>
          <w:bCs/>
          <w:i/>
        </w:rPr>
        <w:t xml:space="preserve">is </w:t>
      </w:r>
      <w:r w:rsidR="008517FF">
        <w:rPr>
          <w:b/>
          <w:bCs/>
          <w:i/>
        </w:rPr>
        <w:t>configured.</w:t>
      </w:r>
    </w:p>
    <w:p w14:paraId="00A05E90" w14:textId="5871BEF6" w:rsidR="0082773D" w:rsidRPr="00B328F2" w:rsidRDefault="00690981" w:rsidP="00690981">
      <w:pPr>
        <w:pStyle w:val="1"/>
        <w:rPr>
          <w:lang w:eastAsia="ja-JP"/>
        </w:rPr>
      </w:pPr>
      <w:r w:rsidRPr="00B328F2">
        <w:rPr>
          <w:lang w:eastAsia="en-US"/>
        </w:rPr>
        <w:t xml:space="preserve">Conclusion </w:t>
      </w:r>
    </w:p>
    <w:p w14:paraId="5E19D6E3" w14:textId="7FC4366F" w:rsidR="00D56353" w:rsidRDefault="00D56353" w:rsidP="00D56353">
      <w:r w:rsidRPr="00B328F2">
        <w:t xml:space="preserve">From the discussion, we have the following observations and proposals: </w:t>
      </w:r>
    </w:p>
    <w:p w14:paraId="3693FCD7" w14:textId="18C628BD" w:rsidR="0016193E" w:rsidRPr="00607CC6" w:rsidRDefault="0016193E" w:rsidP="0016193E">
      <w:pPr>
        <w:rPr>
          <w:b/>
          <w:bCs/>
          <w:i/>
        </w:rPr>
      </w:pPr>
      <w:r>
        <w:rPr>
          <w:b/>
          <w:bCs/>
          <w:i/>
        </w:rPr>
        <w:t>Proposal 1:</w:t>
      </w:r>
      <w:r w:rsidRPr="00232E83">
        <w:t xml:space="preserve"> </w:t>
      </w:r>
      <w:r w:rsidRPr="00232E83">
        <w:rPr>
          <w:b/>
          <w:bCs/>
          <w:i/>
        </w:rPr>
        <w:t>For DCI-based overridden mechanism/indication,</w:t>
      </w:r>
      <w:r>
        <w:rPr>
          <w:b/>
          <w:bCs/>
          <w:i/>
        </w:rPr>
        <w:t xml:space="preserve"> the working assumption reached in RAN1#113 </w:t>
      </w:r>
      <w:r w:rsidR="002A23D2">
        <w:rPr>
          <w:b/>
          <w:bCs/>
          <w:i/>
        </w:rPr>
        <w:t xml:space="preserve">meeting </w:t>
      </w:r>
      <w:bookmarkStart w:id="2" w:name="_GoBack"/>
      <w:bookmarkEnd w:id="2"/>
      <w:r>
        <w:rPr>
          <w:b/>
          <w:bCs/>
          <w:i/>
        </w:rPr>
        <w:t>can be confirmed.</w:t>
      </w:r>
    </w:p>
    <w:p w14:paraId="3826A9B9" w14:textId="3D4FB9B4" w:rsidR="00E3225E" w:rsidRPr="00F06CB4" w:rsidRDefault="00E3225E" w:rsidP="0016193E">
      <w:pPr>
        <w:rPr>
          <w:b/>
          <w:bCs/>
          <w:i/>
        </w:rPr>
      </w:pPr>
      <w:r w:rsidRPr="00F06CB4">
        <w:rPr>
          <w:b/>
          <w:bCs/>
          <w:i/>
        </w:rPr>
        <w:lastRenderedPageBreak/>
        <w:t xml:space="preserve">Proposal </w:t>
      </w:r>
      <w:r w:rsidR="001E4EE1">
        <w:rPr>
          <w:b/>
          <w:bCs/>
          <w:i/>
        </w:rPr>
        <w:t>2</w:t>
      </w:r>
      <w:r w:rsidR="002874F4">
        <w:rPr>
          <w:b/>
          <w:bCs/>
          <w:i/>
        </w:rPr>
        <w:t>:</w:t>
      </w:r>
      <w:r w:rsidR="005673E3">
        <w:rPr>
          <w:b/>
          <w:bCs/>
          <w:i/>
        </w:rPr>
        <w:t xml:space="preserve"> </w:t>
      </w:r>
      <w:r w:rsidRPr="00F06CB4">
        <w:rPr>
          <w:b/>
          <w:bCs/>
          <w:i/>
        </w:rPr>
        <w:t>One or multiple HARQ process group can be triggered for HARQ feedback disabled by DCI.</w:t>
      </w:r>
    </w:p>
    <w:p w14:paraId="0749710F" w14:textId="0A51A780" w:rsidR="00CE333A" w:rsidRDefault="00E3225E" w:rsidP="00E3225E">
      <w:pPr>
        <w:rPr>
          <w:b/>
          <w:bCs/>
          <w:i/>
        </w:rPr>
      </w:pPr>
      <w:r w:rsidRPr="00F06CB4">
        <w:rPr>
          <w:b/>
          <w:bCs/>
          <w:i/>
        </w:rPr>
        <w:t xml:space="preserve">Proposal </w:t>
      </w:r>
      <w:r w:rsidR="001E4EE1">
        <w:rPr>
          <w:b/>
          <w:bCs/>
          <w:i/>
        </w:rPr>
        <w:t>3</w:t>
      </w:r>
      <w:r w:rsidR="002874F4">
        <w:rPr>
          <w:b/>
          <w:bCs/>
          <w:i/>
        </w:rPr>
        <w:t>:</w:t>
      </w:r>
      <w:r w:rsidR="005673E3">
        <w:rPr>
          <w:b/>
          <w:bCs/>
          <w:i/>
        </w:rPr>
        <w:t xml:space="preserve"> </w:t>
      </w:r>
      <w:r w:rsidRPr="00F06CB4">
        <w:rPr>
          <w:b/>
          <w:bCs/>
          <w:i/>
        </w:rPr>
        <w:t>A criteria for NW configuration enabled and disabled HARQ-ACK feedback switching could be specified.</w:t>
      </w:r>
    </w:p>
    <w:p w14:paraId="1ED3CBA4" w14:textId="6A801829" w:rsidR="00296737" w:rsidRDefault="00296737" w:rsidP="00296737">
      <w:r w:rsidRPr="00607CC6">
        <w:rPr>
          <w:b/>
          <w:bCs/>
          <w:i/>
        </w:rPr>
        <w:t xml:space="preserve">Proposal </w:t>
      </w:r>
      <w:r w:rsidR="0065439D">
        <w:rPr>
          <w:b/>
          <w:bCs/>
          <w:i/>
        </w:rPr>
        <w:t>4</w:t>
      </w:r>
      <w:r>
        <w:rPr>
          <w:b/>
          <w:bCs/>
          <w:i/>
        </w:rPr>
        <w:t xml:space="preserve">: </w:t>
      </w:r>
      <w:r w:rsidRPr="008517FF">
        <w:rPr>
          <w:b/>
          <w:bCs/>
          <w:i/>
        </w:rPr>
        <w:t>ACK is assumed for the disabled HARQ process when performing a logical AND operation</w:t>
      </w:r>
      <w:r>
        <w:rPr>
          <w:b/>
          <w:bCs/>
          <w:i/>
        </w:rPr>
        <w:t xml:space="preserve"> if not all the bundled TB is disabled HARQ feedback</w:t>
      </w:r>
      <w:r w:rsidR="004F4C06">
        <w:rPr>
          <w:b/>
          <w:bCs/>
          <w:i/>
        </w:rPr>
        <w:t xml:space="preserve"> for multiple TB</w:t>
      </w:r>
      <w:r>
        <w:rPr>
          <w:b/>
          <w:bCs/>
          <w:i/>
        </w:rPr>
        <w:t xml:space="preserve">, and if all the bundled TB is disabled HARQ feedback, then </w:t>
      </w:r>
      <w:r w:rsidRPr="008517FF">
        <w:rPr>
          <w:b/>
          <w:bCs/>
          <w:i/>
        </w:rPr>
        <w:t>HARQ bundling</w:t>
      </w:r>
      <w:r>
        <w:rPr>
          <w:b/>
          <w:bCs/>
          <w:i/>
        </w:rPr>
        <w:t xml:space="preserve"> function will not applied even it is configured.</w:t>
      </w:r>
    </w:p>
    <w:p w14:paraId="2BDB3949" w14:textId="77777777" w:rsidR="005673E3" w:rsidRPr="00451207" w:rsidRDefault="005673E3" w:rsidP="00E3225E">
      <w:pPr>
        <w:rPr>
          <w:b/>
          <w:bCs/>
          <w:i/>
        </w:rPr>
      </w:pPr>
    </w:p>
    <w:p w14:paraId="0C608F38" w14:textId="40C99FB5" w:rsidR="00690981" w:rsidRPr="00B328F2" w:rsidRDefault="00690981" w:rsidP="00690981">
      <w:pPr>
        <w:pStyle w:val="1"/>
        <w:rPr>
          <w:lang w:eastAsia="ja-JP"/>
        </w:rPr>
      </w:pPr>
      <w:r w:rsidRPr="00B328F2">
        <w:rPr>
          <w:lang w:eastAsia="ja-JP"/>
        </w:rPr>
        <w:t xml:space="preserve">References </w:t>
      </w:r>
    </w:p>
    <w:p w14:paraId="7BDE738D" w14:textId="73D45098" w:rsidR="003C6D07" w:rsidRPr="00BF5D80" w:rsidRDefault="00C56E00" w:rsidP="00BF5D80">
      <w:pPr>
        <w:pStyle w:val="a4"/>
        <w:numPr>
          <w:ilvl w:val="0"/>
          <w:numId w:val="14"/>
        </w:numPr>
        <w:rPr>
          <w:bCs/>
        </w:rPr>
      </w:pPr>
      <w:r w:rsidRPr="00C22738">
        <w:t>RP-220979</w:t>
      </w:r>
      <w:r>
        <w:t>,</w:t>
      </w:r>
      <w:r w:rsidRPr="00170E17">
        <w:t xml:space="preserve"> </w:t>
      </w:r>
      <w:r w:rsidR="003C6D07" w:rsidRPr="003C6D07">
        <w:rPr>
          <w:bCs/>
        </w:rPr>
        <w:t xml:space="preserve">WID on IoT NTN enhancements. 3GPP TSG RAN Meeting </w:t>
      </w:r>
      <w:r w:rsidR="007E0117">
        <w:rPr>
          <w:bCs/>
        </w:rPr>
        <w:t>#</w:t>
      </w:r>
      <w:r w:rsidR="003C6D07" w:rsidRPr="003C6D07">
        <w:rPr>
          <w:bCs/>
        </w:rPr>
        <w:t>95e, March 17 - 23, 2022.</w:t>
      </w:r>
    </w:p>
    <w:p w14:paraId="2B5EA6F4" w14:textId="628F6739" w:rsidR="00E46466" w:rsidRPr="00B328F2" w:rsidRDefault="00E46466" w:rsidP="00A277BA"/>
    <w:sectPr w:rsidR="00E46466" w:rsidRPr="00B328F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24B1C" w14:textId="77777777" w:rsidR="00D2384A" w:rsidRDefault="00D2384A" w:rsidP="006A5893">
      <w:pPr>
        <w:spacing w:after="0" w:line="240" w:lineRule="auto"/>
      </w:pPr>
      <w:r>
        <w:separator/>
      </w:r>
    </w:p>
  </w:endnote>
  <w:endnote w:type="continuationSeparator" w:id="0">
    <w:p w14:paraId="5958D4B0" w14:textId="77777777" w:rsidR="00D2384A" w:rsidRDefault="00D2384A" w:rsidP="006A58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B97A8" w14:textId="77777777" w:rsidR="00D2384A" w:rsidRDefault="00D2384A" w:rsidP="006A5893">
      <w:pPr>
        <w:spacing w:after="0" w:line="240" w:lineRule="auto"/>
      </w:pPr>
      <w:r>
        <w:separator/>
      </w:r>
    </w:p>
  </w:footnote>
  <w:footnote w:type="continuationSeparator" w:id="0">
    <w:p w14:paraId="3AFA0511" w14:textId="77777777" w:rsidR="00D2384A" w:rsidRDefault="00D2384A" w:rsidP="006A58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34D1"/>
    <w:multiLevelType w:val="multilevel"/>
    <w:tmpl w:val="9B906E7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096404D3"/>
    <w:multiLevelType w:val="hybridMultilevel"/>
    <w:tmpl w:val="4D52D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4165525"/>
    <w:multiLevelType w:val="hybridMultilevel"/>
    <w:tmpl w:val="7C86ACCA"/>
    <w:lvl w:ilvl="0" w:tplc="3A6E1A52">
      <w:start w:val="1"/>
      <w:numFmt w:val="bullet"/>
      <w:lvlText w:val="-"/>
      <w:lvlJc w:val="left"/>
      <w:pPr>
        <w:tabs>
          <w:tab w:val="num" w:pos="720"/>
        </w:tabs>
        <w:ind w:left="720" w:hanging="360"/>
      </w:pPr>
      <w:rPr>
        <w:rFonts w:ascii="Times New Roman" w:hAnsi="Times New Roman" w:hint="default"/>
      </w:rPr>
    </w:lvl>
    <w:lvl w:ilvl="1" w:tplc="2AEE64F4" w:tentative="1">
      <w:start w:val="1"/>
      <w:numFmt w:val="bullet"/>
      <w:lvlText w:val="-"/>
      <w:lvlJc w:val="left"/>
      <w:pPr>
        <w:tabs>
          <w:tab w:val="num" w:pos="1440"/>
        </w:tabs>
        <w:ind w:left="1440" w:hanging="360"/>
      </w:pPr>
      <w:rPr>
        <w:rFonts w:ascii="Times New Roman" w:hAnsi="Times New Roman" w:hint="default"/>
      </w:rPr>
    </w:lvl>
    <w:lvl w:ilvl="2" w:tplc="414A48EA" w:tentative="1">
      <w:start w:val="1"/>
      <w:numFmt w:val="bullet"/>
      <w:lvlText w:val="-"/>
      <w:lvlJc w:val="left"/>
      <w:pPr>
        <w:tabs>
          <w:tab w:val="num" w:pos="2160"/>
        </w:tabs>
        <w:ind w:left="2160" w:hanging="360"/>
      </w:pPr>
      <w:rPr>
        <w:rFonts w:ascii="Times New Roman" w:hAnsi="Times New Roman" w:hint="default"/>
      </w:rPr>
    </w:lvl>
    <w:lvl w:ilvl="3" w:tplc="BF00E58C" w:tentative="1">
      <w:start w:val="1"/>
      <w:numFmt w:val="bullet"/>
      <w:lvlText w:val="-"/>
      <w:lvlJc w:val="left"/>
      <w:pPr>
        <w:tabs>
          <w:tab w:val="num" w:pos="2880"/>
        </w:tabs>
        <w:ind w:left="2880" w:hanging="360"/>
      </w:pPr>
      <w:rPr>
        <w:rFonts w:ascii="Times New Roman" w:hAnsi="Times New Roman" w:hint="default"/>
      </w:rPr>
    </w:lvl>
    <w:lvl w:ilvl="4" w:tplc="C116F426" w:tentative="1">
      <w:start w:val="1"/>
      <w:numFmt w:val="bullet"/>
      <w:lvlText w:val="-"/>
      <w:lvlJc w:val="left"/>
      <w:pPr>
        <w:tabs>
          <w:tab w:val="num" w:pos="3600"/>
        </w:tabs>
        <w:ind w:left="3600" w:hanging="360"/>
      </w:pPr>
      <w:rPr>
        <w:rFonts w:ascii="Times New Roman" w:hAnsi="Times New Roman" w:hint="default"/>
      </w:rPr>
    </w:lvl>
    <w:lvl w:ilvl="5" w:tplc="E0C0E568">
      <w:start w:val="1"/>
      <w:numFmt w:val="bullet"/>
      <w:lvlText w:val="-"/>
      <w:lvlJc w:val="left"/>
      <w:pPr>
        <w:tabs>
          <w:tab w:val="num" w:pos="4320"/>
        </w:tabs>
        <w:ind w:left="4320" w:hanging="360"/>
      </w:pPr>
      <w:rPr>
        <w:rFonts w:ascii="Times New Roman" w:hAnsi="Times New Roman" w:hint="default"/>
      </w:rPr>
    </w:lvl>
    <w:lvl w:ilvl="6" w:tplc="89A4F606" w:tentative="1">
      <w:start w:val="1"/>
      <w:numFmt w:val="bullet"/>
      <w:lvlText w:val="-"/>
      <w:lvlJc w:val="left"/>
      <w:pPr>
        <w:tabs>
          <w:tab w:val="num" w:pos="5040"/>
        </w:tabs>
        <w:ind w:left="5040" w:hanging="360"/>
      </w:pPr>
      <w:rPr>
        <w:rFonts w:ascii="Times New Roman" w:hAnsi="Times New Roman" w:hint="default"/>
      </w:rPr>
    </w:lvl>
    <w:lvl w:ilvl="7" w:tplc="C95AFA62" w:tentative="1">
      <w:start w:val="1"/>
      <w:numFmt w:val="bullet"/>
      <w:lvlText w:val="-"/>
      <w:lvlJc w:val="left"/>
      <w:pPr>
        <w:tabs>
          <w:tab w:val="num" w:pos="5760"/>
        </w:tabs>
        <w:ind w:left="5760" w:hanging="360"/>
      </w:pPr>
      <w:rPr>
        <w:rFonts w:ascii="Times New Roman" w:hAnsi="Times New Roman" w:hint="default"/>
      </w:rPr>
    </w:lvl>
    <w:lvl w:ilvl="8" w:tplc="265271A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9453321"/>
    <w:multiLevelType w:val="multilevel"/>
    <w:tmpl w:val="2618AFF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6" w15:restartNumberingAfterBreak="0">
    <w:nsid w:val="21027D09"/>
    <w:multiLevelType w:val="hybridMultilevel"/>
    <w:tmpl w:val="B680E016"/>
    <w:lvl w:ilvl="0" w:tplc="06F2D274">
      <w:start w:val="1"/>
      <w:numFmt w:val="decimal"/>
      <w:lvlText w:val="[%1]."/>
      <w:lvlJc w:val="left"/>
      <w:pPr>
        <w:ind w:left="36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E443AD"/>
    <w:multiLevelType w:val="hybridMultilevel"/>
    <w:tmpl w:val="308E06CC"/>
    <w:lvl w:ilvl="0" w:tplc="FEA6DA00">
      <w:start w:val="23"/>
      <w:numFmt w:val="bullet"/>
      <w:lvlText w:val="-"/>
      <w:lvlJc w:val="left"/>
      <w:pPr>
        <w:ind w:left="360" w:hanging="360"/>
      </w:pPr>
      <w:rPr>
        <w:rFonts w:ascii="Times New Roman" w:eastAsiaTheme="minorEastAsia" w:hAnsi="Times New Roman" w:cs="Times New Roman" w:hint="default"/>
      </w:rPr>
    </w:lvl>
    <w:lvl w:ilvl="1" w:tplc="FEA6DA00">
      <w:start w:val="2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E1060E4"/>
    <w:multiLevelType w:val="hybridMultilevel"/>
    <w:tmpl w:val="0E6C91D4"/>
    <w:lvl w:ilvl="0" w:tplc="EDCEB75A">
      <w:start w:val="1"/>
      <w:numFmt w:val="decimal"/>
      <w:lvlText w:val="Observation %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E4D6B14"/>
    <w:multiLevelType w:val="hybridMultilevel"/>
    <w:tmpl w:val="72D60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2" w15:restartNumberingAfterBreak="0">
    <w:nsid w:val="35B402F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E55112B"/>
    <w:multiLevelType w:val="hybridMultilevel"/>
    <w:tmpl w:val="95C2CF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3C106F4"/>
    <w:multiLevelType w:val="hybridMultilevel"/>
    <w:tmpl w:val="D584B566"/>
    <w:lvl w:ilvl="0" w:tplc="EDCEB75A">
      <w:start w:val="1"/>
      <w:numFmt w:val="decimal"/>
      <w:lvlText w:val="Observation %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CA767E"/>
    <w:multiLevelType w:val="hybridMultilevel"/>
    <w:tmpl w:val="476447E6"/>
    <w:lvl w:ilvl="0" w:tplc="C50C0642">
      <w:start w:val="1"/>
      <w:numFmt w:val="decimal"/>
      <w:lvlText w:val="Proposal %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D74C08"/>
    <w:multiLevelType w:val="multilevel"/>
    <w:tmpl w:val="6B365D94"/>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2" w15:restartNumberingAfterBreak="0">
    <w:nsid w:val="59DE693A"/>
    <w:multiLevelType w:val="hybridMultilevel"/>
    <w:tmpl w:val="5860E6FE"/>
    <w:lvl w:ilvl="0" w:tplc="5328A2C6">
      <w:start w:val="1"/>
      <w:numFmt w:val="bullet"/>
      <w:lvlText w:val=""/>
      <w:lvlJc w:val="left"/>
      <w:pPr>
        <w:tabs>
          <w:tab w:val="num" w:pos="720"/>
        </w:tabs>
        <w:ind w:left="720" w:hanging="360"/>
      </w:pPr>
      <w:rPr>
        <w:rFonts w:ascii="Wingdings" w:hAnsi="Wingdings" w:hint="default"/>
      </w:rPr>
    </w:lvl>
    <w:lvl w:ilvl="1" w:tplc="0D68C788">
      <w:start w:val="1"/>
      <w:numFmt w:val="bullet"/>
      <w:lvlText w:val=""/>
      <w:lvlJc w:val="left"/>
      <w:pPr>
        <w:tabs>
          <w:tab w:val="num" w:pos="1440"/>
        </w:tabs>
        <w:ind w:left="1440" w:hanging="360"/>
      </w:pPr>
      <w:rPr>
        <w:rFonts w:ascii="Wingdings" w:hAnsi="Wingdings" w:hint="default"/>
      </w:rPr>
    </w:lvl>
    <w:lvl w:ilvl="2" w:tplc="6A64F4DE" w:tentative="1">
      <w:start w:val="1"/>
      <w:numFmt w:val="bullet"/>
      <w:lvlText w:val=""/>
      <w:lvlJc w:val="left"/>
      <w:pPr>
        <w:tabs>
          <w:tab w:val="num" w:pos="2160"/>
        </w:tabs>
        <w:ind w:left="2160" w:hanging="360"/>
      </w:pPr>
      <w:rPr>
        <w:rFonts w:ascii="Wingdings" w:hAnsi="Wingdings" w:hint="default"/>
      </w:rPr>
    </w:lvl>
    <w:lvl w:ilvl="3" w:tplc="829C1286" w:tentative="1">
      <w:start w:val="1"/>
      <w:numFmt w:val="bullet"/>
      <w:lvlText w:val=""/>
      <w:lvlJc w:val="left"/>
      <w:pPr>
        <w:tabs>
          <w:tab w:val="num" w:pos="2880"/>
        </w:tabs>
        <w:ind w:left="2880" w:hanging="360"/>
      </w:pPr>
      <w:rPr>
        <w:rFonts w:ascii="Wingdings" w:hAnsi="Wingdings" w:hint="default"/>
      </w:rPr>
    </w:lvl>
    <w:lvl w:ilvl="4" w:tplc="01D487E6" w:tentative="1">
      <w:start w:val="1"/>
      <w:numFmt w:val="bullet"/>
      <w:lvlText w:val=""/>
      <w:lvlJc w:val="left"/>
      <w:pPr>
        <w:tabs>
          <w:tab w:val="num" w:pos="3600"/>
        </w:tabs>
        <w:ind w:left="3600" w:hanging="360"/>
      </w:pPr>
      <w:rPr>
        <w:rFonts w:ascii="Wingdings" w:hAnsi="Wingdings" w:hint="default"/>
      </w:rPr>
    </w:lvl>
    <w:lvl w:ilvl="5" w:tplc="0B0C1A2C" w:tentative="1">
      <w:start w:val="1"/>
      <w:numFmt w:val="bullet"/>
      <w:lvlText w:val=""/>
      <w:lvlJc w:val="left"/>
      <w:pPr>
        <w:tabs>
          <w:tab w:val="num" w:pos="4320"/>
        </w:tabs>
        <w:ind w:left="4320" w:hanging="360"/>
      </w:pPr>
      <w:rPr>
        <w:rFonts w:ascii="Wingdings" w:hAnsi="Wingdings" w:hint="default"/>
      </w:rPr>
    </w:lvl>
    <w:lvl w:ilvl="6" w:tplc="4A12EC64" w:tentative="1">
      <w:start w:val="1"/>
      <w:numFmt w:val="bullet"/>
      <w:lvlText w:val=""/>
      <w:lvlJc w:val="left"/>
      <w:pPr>
        <w:tabs>
          <w:tab w:val="num" w:pos="5040"/>
        </w:tabs>
        <w:ind w:left="5040" w:hanging="360"/>
      </w:pPr>
      <w:rPr>
        <w:rFonts w:ascii="Wingdings" w:hAnsi="Wingdings" w:hint="default"/>
      </w:rPr>
    </w:lvl>
    <w:lvl w:ilvl="7" w:tplc="63ECC7D2" w:tentative="1">
      <w:start w:val="1"/>
      <w:numFmt w:val="bullet"/>
      <w:lvlText w:val=""/>
      <w:lvlJc w:val="left"/>
      <w:pPr>
        <w:tabs>
          <w:tab w:val="num" w:pos="5760"/>
        </w:tabs>
        <w:ind w:left="5760" w:hanging="360"/>
      </w:pPr>
      <w:rPr>
        <w:rFonts w:ascii="Wingdings" w:hAnsi="Wingdings" w:hint="default"/>
      </w:rPr>
    </w:lvl>
    <w:lvl w:ilvl="8" w:tplc="591AC43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CF2F38"/>
    <w:multiLevelType w:val="hybridMultilevel"/>
    <w:tmpl w:val="72CECB7A"/>
    <w:lvl w:ilvl="0" w:tplc="885A8272">
      <w:start w:val="1"/>
      <w:numFmt w:val="bullet"/>
      <w:lvlText w:val="•"/>
      <w:lvlJc w:val="left"/>
      <w:pPr>
        <w:tabs>
          <w:tab w:val="num" w:pos="720"/>
        </w:tabs>
        <w:ind w:left="720" w:hanging="360"/>
      </w:pPr>
      <w:rPr>
        <w:rFonts w:ascii="Arial" w:hAnsi="Arial" w:hint="default"/>
      </w:rPr>
    </w:lvl>
    <w:lvl w:ilvl="1" w:tplc="C96A6E96">
      <w:start w:val="1"/>
      <w:numFmt w:val="bullet"/>
      <w:lvlText w:val="•"/>
      <w:lvlJc w:val="left"/>
      <w:pPr>
        <w:tabs>
          <w:tab w:val="num" w:pos="1440"/>
        </w:tabs>
        <w:ind w:left="1440" w:hanging="360"/>
      </w:pPr>
      <w:rPr>
        <w:rFonts w:ascii="Arial" w:hAnsi="Arial" w:hint="default"/>
      </w:rPr>
    </w:lvl>
    <w:lvl w:ilvl="2" w:tplc="D0167110" w:tentative="1">
      <w:start w:val="1"/>
      <w:numFmt w:val="bullet"/>
      <w:lvlText w:val="•"/>
      <w:lvlJc w:val="left"/>
      <w:pPr>
        <w:tabs>
          <w:tab w:val="num" w:pos="2160"/>
        </w:tabs>
        <w:ind w:left="2160" w:hanging="360"/>
      </w:pPr>
      <w:rPr>
        <w:rFonts w:ascii="Arial" w:hAnsi="Arial" w:hint="default"/>
      </w:rPr>
    </w:lvl>
    <w:lvl w:ilvl="3" w:tplc="E9609B14" w:tentative="1">
      <w:start w:val="1"/>
      <w:numFmt w:val="bullet"/>
      <w:lvlText w:val="•"/>
      <w:lvlJc w:val="left"/>
      <w:pPr>
        <w:tabs>
          <w:tab w:val="num" w:pos="2880"/>
        </w:tabs>
        <w:ind w:left="2880" w:hanging="360"/>
      </w:pPr>
      <w:rPr>
        <w:rFonts w:ascii="Arial" w:hAnsi="Arial" w:hint="default"/>
      </w:rPr>
    </w:lvl>
    <w:lvl w:ilvl="4" w:tplc="E0E201CC" w:tentative="1">
      <w:start w:val="1"/>
      <w:numFmt w:val="bullet"/>
      <w:lvlText w:val="•"/>
      <w:lvlJc w:val="left"/>
      <w:pPr>
        <w:tabs>
          <w:tab w:val="num" w:pos="3600"/>
        </w:tabs>
        <w:ind w:left="3600" w:hanging="360"/>
      </w:pPr>
      <w:rPr>
        <w:rFonts w:ascii="Arial" w:hAnsi="Arial" w:hint="default"/>
      </w:rPr>
    </w:lvl>
    <w:lvl w:ilvl="5" w:tplc="5A3AC7B6" w:tentative="1">
      <w:start w:val="1"/>
      <w:numFmt w:val="bullet"/>
      <w:lvlText w:val="•"/>
      <w:lvlJc w:val="left"/>
      <w:pPr>
        <w:tabs>
          <w:tab w:val="num" w:pos="4320"/>
        </w:tabs>
        <w:ind w:left="4320" w:hanging="360"/>
      </w:pPr>
      <w:rPr>
        <w:rFonts w:ascii="Arial" w:hAnsi="Arial" w:hint="default"/>
      </w:rPr>
    </w:lvl>
    <w:lvl w:ilvl="6" w:tplc="10FE590C" w:tentative="1">
      <w:start w:val="1"/>
      <w:numFmt w:val="bullet"/>
      <w:lvlText w:val="•"/>
      <w:lvlJc w:val="left"/>
      <w:pPr>
        <w:tabs>
          <w:tab w:val="num" w:pos="5040"/>
        </w:tabs>
        <w:ind w:left="5040" w:hanging="360"/>
      </w:pPr>
      <w:rPr>
        <w:rFonts w:ascii="Arial" w:hAnsi="Arial" w:hint="default"/>
      </w:rPr>
    </w:lvl>
    <w:lvl w:ilvl="7" w:tplc="85A20BB8" w:tentative="1">
      <w:start w:val="1"/>
      <w:numFmt w:val="bullet"/>
      <w:lvlText w:val="•"/>
      <w:lvlJc w:val="left"/>
      <w:pPr>
        <w:tabs>
          <w:tab w:val="num" w:pos="5760"/>
        </w:tabs>
        <w:ind w:left="5760" w:hanging="360"/>
      </w:pPr>
      <w:rPr>
        <w:rFonts w:ascii="Arial" w:hAnsi="Arial" w:hint="default"/>
      </w:rPr>
    </w:lvl>
    <w:lvl w:ilvl="8" w:tplc="F54874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D75E0C"/>
    <w:multiLevelType w:val="hybridMultilevel"/>
    <w:tmpl w:val="7B0CD9E6"/>
    <w:lvl w:ilvl="0" w:tplc="6C2C5E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DBF2ADA"/>
    <w:multiLevelType w:val="multilevel"/>
    <w:tmpl w:val="5DBF2AD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74E647F"/>
    <w:multiLevelType w:val="hybridMultilevel"/>
    <w:tmpl w:val="47B456E8"/>
    <w:lvl w:ilvl="0" w:tplc="556A52B0">
      <w:start w:val="1"/>
      <w:numFmt w:val="bullet"/>
      <w:lvlText w:val=""/>
      <w:lvlJc w:val="left"/>
      <w:pPr>
        <w:tabs>
          <w:tab w:val="num" w:pos="720"/>
        </w:tabs>
        <w:ind w:left="720" w:hanging="360"/>
      </w:pPr>
      <w:rPr>
        <w:rFonts w:ascii="Wingdings" w:hAnsi="Wingdings" w:hint="default"/>
      </w:rPr>
    </w:lvl>
    <w:lvl w:ilvl="1" w:tplc="81701A26">
      <w:start w:val="1"/>
      <w:numFmt w:val="bullet"/>
      <w:lvlText w:val=""/>
      <w:lvlJc w:val="left"/>
      <w:pPr>
        <w:tabs>
          <w:tab w:val="num" w:pos="1440"/>
        </w:tabs>
        <w:ind w:left="1440" w:hanging="360"/>
      </w:pPr>
      <w:rPr>
        <w:rFonts w:ascii="Wingdings" w:hAnsi="Wingdings" w:hint="default"/>
      </w:rPr>
    </w:lvl>
    <w:lvl w:ilvl="2" w:tplc="A32A30D2" w:tentative="1">
      <w:start w:val="1"/>
      <w:numFmt w:val="bullet"/>
      <w:lvlText w:val=""/>
      <w:lvlJc w:val="left"/>
      <w:pPr>
        <w:tabs>
          <w:tab w:val="num" w:pos="2160"/>
        </w:tabs>
        <w:ind w:left="2160" w:hanging="360"/>
      </w:pPr>
      <w:rPr>
        <w:rFonts w:ascii="Wingdings" w:hAnsi="Wingdings" w:hint="default"/>
      </w:rPr>
    </w:lvl>
    <w:lvl w:ilvl="3" w:tplc="3AC4FBE4" w:tentative="1">
      <w:start w:val="1"/>
      <w:numFmt w:val="bullet"/>
      <w:lvlText w:val=""/>
      <w:lvlJc w:val="left"/>
      <w:pPr>
        <w:tabs>
          <w:tab w:val="num" w:pos="2880"/>
        </w:tabs>
        <w:ind w:left="2880" w:hanging="360"/>
      </w:pPr>
      <w:rPr>
        <w:rFonts w:ascii="Wingdings" w:hAnsi="Wingdings" w:hint="default"/>
      </w:rPr>
    </w:lvl>
    <w:lvl w:ilvl="4" w:tplc="17B833D2" w:tentative="1">
      <w:start w:val="1"/>
      <w:numFmt w:val="bullet"/>
      <w:lvlText w:val=""/>
      <w:lvlJc w:val="left"/>
      <w:pPr>
        <w:tabs>
          <w:tab w:val="num" w:pos="3600"/>
        </w:tabs>
        <w:ind w:left="3600" w:hanging="360"/>
      </w:pPr>
      <w:rPr>
        <w:rFonts w:ascii="Wingdings" w:hAnsi="Wingdings" w:hint="default"/>
      </w:rPr>
    </w:lvl>
    <w:lvl w:ilvl="5" w:tplc="50C06DA6" w:tentative="1">
      <w:start w:val="1"/>
      <w:numFmt w:val="bullet"/>
      <w:lvlText w:val=""/>
      <w:lvlJc w:val="left"/>
      <w:pPr>
        <w:tabs>
          <w:tab w:val="num" w:pos="4320"/>
        </w:tabs>
        <w:ind w:left="4320" w:hanging="360"/>
      </w:pPr>
      <w:rPr>
        <w:rFonts w:ascii="Wingdings" w:hAnsi="Wingdings" w:hint="default"/>
      </w:rPr>
    </w:lvl>
    <w:lvl w:ilvl="6" w:tplc="03F67372" w:tentative="1">
      <w:start w:val="1"/>
      <w:numFmt w:val="bullet"/>
      <w:lvlText w:val=""/>
      <w:lvlJc w:val="left"/>
      <w:pPr>
        <w:tabs>
          <w:tab w:val="num" w:pos="5040"/>
        </w:tabs>
        <w:ind w:left="5040" w:hanging="360"/>
      </w:pPr>
      <w:rPr>
        <w:rFonts w:ascii="Wingdings" w:hAnsi="Wingdings" w:hint="default"/>
      </w:rPr>
    </w:lvl>
    <w:lvl w:ilvl="7" w:tplc="7DD49804" w:tentative="1">
      <w:start w:val="1"/>
      <w:numFmt w:val="bullet"/>
      <w:lvlText w:val=""/>
      <w:lvlJc w:val="left"/>
      <w:pPr>
        <w:tabs>
          <w:tab w:val="num" w:pos="5760"/>
        </w:tabs>
        <w:ind w:left="5760" w:hanging="360"/>
      </w:pPr>
      <w:rPr>
        <w:rFonts w:ascii="Wingdings" w:hAnsi="Wingdings" w:hint="default"/>
      </w:rPr>
    </w:lvl>
    <w:lvl w:ilvl="8" w:tplc="4BB83B2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D76071"/>
    <w:multiLevelType w:val="hybridMultilevel"/>
    <w:tmpl w:val="164CD63C"/>
    <w:lvl w:ilvl="0" w:tplc="71509502">
      <w:start w:val="1"/>
      <w:numFmt w:val="bullet"/>
      <w:lvlText w:val=""/>
      <w:lvlJc w:val="left"/>
      <w:pPr>
        <w:tabs>
          <w:tab w:val="num" w:pos="720"/>
        </w:tabs>
        <w:ind w:left="720" w:hanging="360"/>
      </w:pPr>
      <w:rPr>
        <w:rFonts w:ascii="Wingdings" w:hAnsi="Wingdings" w:hint="default"/>
      </w:rPr>
    </w:lvl>
    <w:lvl w:ilvl="1" w:tplc="1C705816" w:tentative="1">
      <w:start w:val="1"/>
      <w:numFmt w:val="bullet"/>
      <w:lvlText w:val=""/>
      <w:lvlJc w:val="left"/>
      <w:pPr>
        <w:tabs>
          <w:tab w:val="num" w:pos="1440"/>
        </w:tabs>
        <w:ind w:left="1440" w:hanging="360"/>
      </w:pPr>
      <w:rPr>
        <w:rFonts w:ascii="Wingdings" w:hAnsi="Wingdings" w:hint="default"/>
      </w:rPr>
    </w:lvl>
    <w:lvl w:ilvl="2" w:tplc="DE0E7EC2" w:tentative="1">
      <w:start w:val="1"/>
      <w:numFmt w:val="bullet"/>
      <w:lvlText w:val=""/>
      <w:lvlJc w:val="left"/>
      <w:pPr>
        <w:tabs>
          <w:tab w:val="num" w:pos="2160"/>
        </w:tabs>
        <w:ind w:left="2160" w:hanging="360"/>
      </w:pPr>
      <w:rPr>
        <w:rFonts w:ascii="Wingdings" w:hAnsi="Wingdings" w:hint="default"/>
      </w:rPr>
    </w:lvl>
    <w:lvl w:ilvl="3" w:tplc="4AA62EE6" w:tentative="1">
      <w:start w:val="1"/>
      <w:numFmt w:val="bullet"/>
      <w:lvlText w:val=""/>
      <w:lvlJc w:val="left"/>
      <w:pPr>
        <w:tabs>
          <w:tab w:val="num" w:pos="2880"/>
        </w:tabs>
        <w:ind w:left="2880" w:hanging="360"/>
      </w:pPr>
      <w:rPr>
        <w:rFonts w:ascii="Wingdings" w:hAnsi="Wingdings" w:hint="default"/>
      </w:rPr>
    </w:lvl>
    <w:lvl w:ilvl="4" w:tplc="73B0AE58" w:tentative="1">
      <w:start w:val="1"/>
      <w:numFmt w:val="bullet"/>
      <w:lvlText w:val=""/>
      <w:lvlJc w:val="left"/>
      <w:pPr>
        <w:tabs>
          <w:tab w:val="num" w:pos="3600"/>
        </w:tabs>
        <w:ind w:left="3600" w:hanging="360"/>
      </w:pPr>
      <w:rPr>
        <w:rFonts w:ascii="Wingdings" w:hAnsi="Wingdings" w:hint="default"/>
      </w:rPr>
    </w:lvl>
    <w:lvl w:ilvl="5" w:tplc="D8C801F6" w:tentative="1">
      <w:start w:val="1"/>
      <w:numFmt w:val="bullet"/>
      <w:lvlText w:val=""/>
      <w:lvlJc w:val="left"/>
      <w:pPr>
        <w:tabs>
          <w:tab w:val="num" w:pos="4320"/>
        </w:tabs>
        <w:ind w:left="4320" w:hanging="360"/>
      </w:pPr>
      <w:rPr>
        <w:rFonts w:ascii="Wingdings" w:hAnsi="Wingdings" w:hint="default"/>
      </w:rPr>
    </w:lvl>
    <w:lvl w:ilvl="6" w:tplc="8B70BFF2" w:tentative="1">
      <w:start w:val="1"/>
      <w:numFmt w:val="bullet"/>
      <w:lvlText w:val=""/>
      <w:lvlJc w:val="left"/>
      <w:pPr>
        <w:tabs>
          <w:tab w:val="num" w:pos="5040"/>
        </w:tabs>
        <w:ind w:left="5040" w:hanging="360"/>
      </w:pPr>
      <w:rPr>
        <w:rFonts w:ascii="Wingdings" w:hAnsi="Wingdings" w:hint="default"/>
      </w:rPr>
    </w:lvl>
    <w:lvl w:ilvl="7" w:tplc="28DE43CC" w:tentative="1">
      <w:start w:val="1"/>
      <w:numFmt w:val="bullet"/>
      <w:lvlText w:val=""/>
      <w:lvlJc w:val="left"/>
      <w:pPr>
        <w:tabs>
          <w:tab w:val="num" w:pos="5760"/>
        </w:tabs>
        <w:ind w:left="5760" w:hanging="360"/>
      </w:pPr>
      <w:rPr>
        <w:rFonts w:ascii="Wingdings" w:hAnsi="Wingdings" w:hint="default"/>
      </w:rPr>
    </w:lvl>
    <w:lvl w:ilvl="8" w:tplc="7286F61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4B1152"/>
    <w:multiLevelType w:val="hybridMultilevel"/>
    <w:tmpl w:val="62BA14B8"/>
    <w:lvl w:ilvl="0" w:tplc="4AE49514">
      <w:start w:val="1"/>
      <w:numFmt w:val="bullet"/>
      <w:lvlText w:val="•"/>
      <w:lvlJc w:val="left"/>
      <w:pPr>
        <w:tabs>
          <w:tab w:val="num" w:pos="720"/>
        </w:tabs>
        <w:ind w:left="720" w:hanging="360"/>
      </w:pPr>
      <w:rPr>
        <w:rFonts w:ascii="Arial" w:hAnsi="Arial" w:hint="default"/>
      </w:rPr>
    </w:lvl>
    <w:lvl w:ilvl="1" w:tplc="BDC6DD2E" w:tentative="1">
      <w:start w:val="1"/>
      <w:numFmt w:val="bullet"/>
      <w:lvlText w:val="•"/>
      <w:lvlJc w:val="left"/>
      <w:pPr>
        <w:tabs>
          <w:tab w:val="num" w:pos="1440"/>
        </w:tabs>
        <w:ind w:left="1440" w:hanging="360"/>
      </w:pPr>
      <w:rPr>
        <w:rFonts w:ascii="Arial" w:hAnsi="Arial" w:hint="default"/>
      </w:rPr>
    </w:lvl>
    <w:lvl w:ilvl="2" w:tplc="C3005A42" w:tentative="1">
      <w:start w:val="1"/>
      <w:numFmt w:val="bullet"/>
      <w:lvlText w:val="•"/>
      <w:lvlJc w:val="left"/>
      <w:pPr>
        <w:tabs>
          <w:tab w:val="num" w:pos="2160"/>
        </w:tabs>
        <w:ind w:left="2160" w:hanging="360"/>
      </w:pPr>
      <w:rPr>
        <w:rFonts w:ascii="Arial" w:hAnsi="Arial" w:hint="default"/>
      </w:rPr>
    </w:lvl>
    <w:lvl w:ilvl="3" w:tplc="0D549620" w:tentative="1">
      <w:start w:val="1"/>
      <w:numFmt w:val="bullet"/>
      <w:lvlText w:val="•"/>
      <w:lvlJc w:val="left"/>
      <w:pPr>
        <w:tabs>
          <w:tab w:val="num" w:pos="2880"/>
        </w:tabs>
        <w:ind w:left="2880" w:hanging="360"/>
      </w:pPr>
      <w:rPr>
        <w:rFonts w:ascii="Arial" w:hAnsi="Arial" w:hint="default"/>
      </w:rPr>
    </w:lvl>
    <w:lvl w:ilvl="4" w:tplc="E790020C" w:tentative="1">
      <w:start w:val="1"/>
      <w:numFmt w:val="bullet"/>
      <w:lvlText w:val="•"/>
      <w:lvlJc w:val="left"/>
      <w:pPr>
        <w:tabs>
          <w:tab w:val="num" w:pos="3600"/>
        </w:tabs>
        <w:ind w:left="3600" w:hanging="360"/>
      </w:pPr>
      <w:rPr>
        <w:rFonts w:ascii="Arial" w:hAnsi="Arial" w:hint="default"/>
      </w:rPr>
    </w:lvl>
    <w:lvl w:ilvl="5" w:tplc="C11289B0" w:tentative="1">
      <w:start w:val="1"/>
      <w:numFmt w:val="bullet"/>
      <w:lvlText w:val="•"/>
      <w:lvlJc w:val="left"/>
      <w:pPr>
        <w:tabs>
          <w:tab w:val="num" w:pos="4320"/>
        </w:tabs>
        <w:ind w:left="4320" w:hanging="360"/>
      </w:pPr>
      <w:rPr>
        <w:rFonts w:ascii="Arial" w:hAnsi="Arial" w:hint="default"/>
      </w:rPr>
    </w:lvl>
    <w:lvl w:ilvl="6" w:tplc="BF28F81A" w:tentative="1">
      <w:start w:val="1"/>
      <w:numFmt w:val="bullet"/>
      <w:lvlText w:val="•"/>
      <w:lvlJc w:val="left"/>
      <w:pPr>
        <w:tabs>
          <w:tab w:val="num" w:pos="5040"/>
        </w:tabs>
        <w:ind w:left="5040" w:hanging="360"/>
      </w:pPr>
      <w:rPr>
        <w:rFonts w:ascii="Arial" w:hAnsi="Arial" w:hint="default"/>
      </w:rPr>
    </w:lvl>
    <w:lvl w:ilvl="7" w:tplc="A1D627EE" w:tentative="1">
      <w:start w:val="1"/>
      <w:numFmt w:val="bullet"/>
      <w:lvlText w:val="•"/>
      <w:lvlJc w:val="left"/>
      <w:pPr>
        <w:tabs>
          <w:tab w:val="num" w:pos="5760"/>
        </w:tabs>
        <w:ind w:left="5760" w:hanging="360"/>
      </w:pPr>
      <w:rPr>
        <w:rFonts w:ascii="Arial" w:hAnsi="Arial" w:hint="default"/>
      </w:rPr>
    </w:lvl>
    <w:lvl w:ilvl="8" w:tplc="4F4C895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965CE"/>
    <w:multiLevelType w:val="multilevel"/>
    <w:tmpl w:val="9B906E7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4" w15:restartNumberingAfterBreak="0">
    <w:nsid w:val="783861C8"/>
    <w:multiLevelType w:val="multilevel"/>
    <w:tmpl w:val="2618AFF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5"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20"/>
  </w:num>
  <w:num w:numId="4">
    <w:abstractNumId w:val="25"/>
  </w:num>
  <w:num w:numId="5">
    <w:abstractNumId w:val="18"/>
  </w:num>
  <w:num w:numId="6">
    <w:abstractNumId w:val="1"/>
  </w:num>
  <w:num w:numId="7">
    <w:abstractNumId w:val="10"/>
  </w:num>
  <w:num w:numId="8">
    <w:abstractNumId w:val="15"/>
  </w:num>
  <w:num w:numId="9">
    <w:abstractNumId w:val="33"/>
  </w:num>
  <w:num w:numId="10">
    <w:abstractNumId w:val="35"/>
  </w:num>
  <w:num w:numId="11">
    <w:abstractNumId w:val="19"/>
  </w:num>
  <w:num w:numId="12">
    <w:abstractNumId w:val="26"/>
  </w:num>
  <w:num w:numId="13">
    <w:abstractNumId w:val="7"/>
  </w:num>
  <w:num w:numId="14">
    <w:abstractNumId w:val="6"/>
  </w:num>
  <w:num w:numId="15">
    <w:abstractNumId w:val="31"/>
  </w:num>
  <w:num w:numId="16">
    <w:abstractNumId w:val="2"/>
  </w:num>
  <w:num w:numId="17">
    <w:abstractNumId w:val="20"/>
  </w:num>
  <w:num w:numId="18">
    <w:abstractNumId w:val="13"/>
  </w:num>
  <w:num w:numId="19">
    <w:abstractNumId w:val="16"/>
  </w:num>
  <w:num w:numId="20">
    <w:abstractNumId w:val="5"/>
  </w:num>
  <w:num w:numId="21">
    <w:abstractNumId w:val="0"/>
  </w:num>
  <w:num w:numId="22">
    <w:abstractNumId w:val="34"/>
  </w:num>
  <w:num w:numId="23">
    <w:abstractNumId w:val="23"/>
  </w:num>
  <w:num w:numId="24">
    <w:abstractNumId w:val="9"/>
  </w:num>
  <w:num w:numId="25">
    <w:abstractNumId w:val="4"/>
  </w:num>
  <w:num w:numId="26">
    <w:abstractNumId w:val="24"/>
  </w:num>
  <w:num w:numId="27">
    <w:abstractNumId w:val="22"/>
  </w:num>
  <w:num w:numId="28">
    <w:abstractNumId w:val="30"/>
  </w:num>
  <w:num w:numId="29">
    <w:abstractNumId w:val="3"/>
  </w:num>
  <w:num w:numId="30">
    <w:abstractNumId w:val="20"/>
  </w:num>
  <w:num w:numId="31">
    <w:abstractNumId w:val="20"/>
  </w:num>
  <w:num w:numId="32">
    <w:abstractNumId w:val="8"/>
  </w:num>
  <w:num w:numId="33">
    <w:abstractNumId w:val="27"/>
  </w:num>
  <w:num w:numId="34">
    <w:abstractNumId w:val="28"/>
  </w:num>
  <w:num w:numId="35">
    <w:abstractNumId w:val="29"/>
  </w:num>
  <w:num w:numId="36">
    <w:abstractNumId w:val="14"/>
  </w:num>
  <w:num w:numId="37">
    <w:abstractNumId w:val="32"/>
  </w:num>
  <w:num w:numId="38">
    <w:abstractNumId w:val="21"/>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C3NDI0MDQ1NDIwNDZT0lEKTi0uzszPAykwqQUAALiyTiwAAAA="/>
  </w:docVars>
  <w:rsids>
    <w:rsidRoot w:val="00C155C4"/>
    <w:rsid w:val="00002FC7"/>
    <w:rsid w:val="000101E2"/>
    <w:rsid w:val="000133E0"/>
    <w:rsid w:val="00014901"/>
    <w:rsid w:val="00015E44"/>
    <w:rsid w:val="00016B20"/>
    <w:rsid w:val="00020AFA"/>
    <w:rsid w:val="00030E10"/>
    <w:rsid w:val="00055F8B"/>
    <w:rsid w:val="000562DA"/>
    <w:rsid w:val="0006178E"/>
    <w:rsid w:val="0007000C"/>
    <w:rsid w:val="00074118"/>
    <w:rsid w:val="00077D7F"/>
    <w:rsid w:val="00080B75"/>
    <w:rsid w:val="00083FDC"/>
    <w:rsid w:val="00086630"/>
    <w:rsid w:val="0008682A"/>
    <w:rsid w:val="00087C6D"/>
    <w:rsid w:val="00091C85"/>
    <w:rsid w:val="0009264A"/>
    <w:rsid w:val="00093C6A"/>
    <w:rsid w:val="000B1487"/>
    <w:rsid w:val="000B321B"/>
    <w:rsid w:val="000D610B"/>
    <w:rsid w:val="000E2DF8"/>
    <w:rsid w:val="000E6D6C"/>
    <w:rsid w:val="000F0A1D"/>
    <w:rsid w:val="000F7080"/>
    <w:rsid w:val="00125809"/>
    <w:rsid w:val="00131819"/>
    <w:rsid w:val="00132A04"/>
    <w:rsid w:val="00134894"/>
    <w:rsid w:val="00134E10"/>
    <w:rsid w:val="001377CB"/>
    <w:rsid w:val="00141574"/>
    <w:rsid w:val="00147FEB"/>
    <w:rsid w:val="0015691F"/>
    <w:rsid w:val="001601E6"/>
    <w:rsid w:val="00161357"/>
    <w:rsid w:val="0016193E"/>
    <w:rsid w:val="001637F7"/>
    <w:rsid w:val="00164C63"/>
    <w:rsid w:val="001669F9"/>
    <w:rsid w:val="00170250"/>
    <w:rsid w:val="00172B97"/>
    <w:rsid w:val="0017460B"/>
    <w:rsid w:val="0017484E"/>
    <w:rsid w:val="00181414"/>
    <w:rsid w:val="00182453"/>
    <w:rsid w:val="0018305D"/>
    <w:rsid w:val="001966F4"/>
    <w:rsid w:val="001A0DE5"/>
    <w:rsid w:val="001A45BA"/>
    <w:rsid w:val="001A66D4"/>
    <w:rsid w:val="001B2E58"/>
    <w:rsid w:val="001B6D2F"/>
    <w:rsid w:val="001C4290"/>
    <w:rsid w:val="001C65DE"/>
    <w:rsid w:val="001D4EAD"/>
    <w:rsid w:val="001D6BC9"/>
    <w:rsid w:val="001E1E68"/>
    <w:rsid w:val="001E3173"/>
    <w:rsid w:val="001E4EE1"/>
    <w:rsid w:val="001F3329"/>
    <w:rsid w:val="002006DC"/>
    <w:rsid w:val="00203644"/>
    <w:rsid w:val="00205321"/>
    <w:rsid w:val="002119A6"/>
    <w:rsid w:val="0021240C"/>
    <w:rsid w:val="0021770D"/>
    <w:rsid w:val="00226B89"/>
    <w:rsid w:val="0023155C"/>
    <w:rsid w:val="00232E83"/>
    <w:rsid w:val="002354E1"/>
    <w:rsid w:val="00243A15"/>
    <w:rsid w:val="00246308"/>
    <w:rsid w:val="00255503"/>
    <w:rsid w:val="00261191"/>
    <w:rsid w:val="00267DA6"/>
    <w:rsid w:val="00267FC3"/>
    <w:rsid w:val="00271554"/>
    <w:rsid w:val="0027160B"/>
    <w:rsid w:val="0028440F"/>
    <w:rsid w:val="002874F4"/>
    <w:rsid w:val="00290921"/>
    <w:rsid w:val="00290A58"/>
    <w:rsid w:val="00291E25"/>
    <w:rsid w:val="00296737"/>
    <w:rsid w:val="002A23D2"/>
    <w:rsid w:val="002A2E4D"/>
    <w:rsid w:val="002B2B58"/>
    <w:rsid w:val="002C1F06"/>
    <w:rsid w:val="002C265E"/>
    <w:rsid w:val="002C6150"/>
    <w:rsid w:val="002D444E"/>
    <w:rsid w:val="002E38B4"/>
    <w:rsid w:val="002F62E5"/>
    <w:rsid w:val="00301B87"/>
    <w:rsid w:val="00304F77"/>
    <w:rsid w:val="003123B8"/>
    <w:rsid w:val="0031263E"/>
    <w:rsid w:val="00313666"/>
    <w:rsid w:val="0032095F"/>
    <w:rsid w:val="0032177C"/>
    <w:rsid w:val="0033013B"/>
    <w:rsid w:val="00333B9B"/>
    <w:rsid w:val="00333E63"/>
    <w:rsid w:val="00341228"/>
    <w:rsid w:val="00350D2A"/>
    <w:rsid w:val="003528DE"/>
    <w:rsid w:val="003536CD"/>
    <w:rsid w:val="00362BCC"/>
    <w:rsid w:val="0036763D"/>
    <w:rsid w:val="00370C27"/>
    <w:rsid w:val="0037686E"/>
    <w:rsid w:val="00385CC4"/>
    <w:rsid w:val="00391E3D"/>
    <w:rsid w:val="00392C95"/>
    <w:rsid w:val="003938A2"/>
    <w:rsid w:val="003A0022"/>
    <w:rsid w:val="003A2837"/>
    <w:rsid w:val="003A67B8"/>
    <w:rsid w:val="003B2BC7"/>
    <w:rsid w:val="003B4F9C"/>
    <w:rsid w:val="003C6D07"/>
    <w:rsid w:val="003D4E45"/>
    <w:rsid w:val="003E3E55"/>
    <w:rsid w:val="003F3240"/>
    <w:rsid w:val="003F385B"/>
    <w:rsid w:val="003F394F"/>
    <w:rsid w:val="0040214A"/>
    <w:rsid w:val="00402CE1"/>
    <w:rsid w:val="0040718C"/>
    <w:rsid w:val="00423E94"/>
    <w:rsid w:val="00432DC6"/>
    <w:rsid w:val="004355A5"/>
    <w:rsid w:val="00442CEC"/>
    <w:rsid w:val="0044562D"/>
    <w:rsid w:val="00451207"/>
    <w:rsid w:val="004549AB"/>
    <w:rsid w:val="00456D36"/>
    <w:rsid w:val="0046252E"/>
    <w:rsid w:val="00462C04"/>
    <w:rsid w:val="00464D98"/>
    <w:rsid w:val="004673FD"/>
    <w:rsid w:val="0046759C"/>
    <w:rsid w:val="00475B53"/>
    <w:rsid w:val="00475E76"/>
    <w:rsid w:val="00475F7B"/>
    <w:rsid w:val="00476877"/>
    <w:rsid w:val="004857E1"/>
    <w:rsid w:val="00494429"/>
    <w:rsid w:val="0049651D"/>
    <w:rsid w:val="004A2C8A"/>
    <w:rsid w:val="004A47B7"/>
    <w:rsid w:val="004A6A7F"/>
    <w:rsid w:val="004A6A8B"/>
    <w:rsid w:val="004A7D3E"/>
    <w:rsid w:val="004C02BC"/>
    <w:rsid w:val="004D01CC"/>
    <w:rsid w:val="004D18F5"/>
    <w:rsid w:val="004D4139"/>
    <w:rsid w:val="004D7445"/>
    <w:rsid w:val="004F4C06"/>
    <w:rsid w:val="004F6922"/>
    <w:rsid w:val="00501082"/>
    <w:rsid w:val="005039CD"/>
    <w:rsid w:val="00510F89"/>
    <w:rsid w:val="0051324E"/>
    <w:rsid w:val="00520120"/>
    <w:rsid w:val="00520F9E"/>
    <w:rsid w:val="00526447"/>
    <w:rsid w:val="00527DCC"/>
    <w:rsid w:val="005301FE"/>
    <w:rsid w:val="00533372"/>
    <w:rsid w:val="005337D2"/>
    <w:rsid w:val="00535022"/>
    <w:rsid w:val="00540484"/>
    <w:rsid w:val="00543F48"/>
    <w:rsid w:val="0055031F"/>
    <w:rsid w:val="005633E8"/>
    <w:rsid w:val="005673E3"/>
    <w:rsid w:val="00573958"/>
    <w:rsid w:val="005747DF"/>
    <w:rsid w:val="00582065"/>
    <w:rsid w:val="00590118"/>
    <w:rsid w:val="005B3346"/>
    <w:rsid w:val="005B4026"/>
    <w:rsid w:val="005B5B37"/>
    <w:rsid w:val="005C30F3"/>
    <w:rsid w:val="005C6F8B"/>
    <w:rsid w:val="005D25E8"/>
    <w:rsid w:val="005D4340"/>
    <w:rsid w:val="005E5844"/>
    <w:rsid w:val="005E6866"/>
    <w:rsid w:val="005F05B2"/>
    <w:rsid w:val="005F4ADD"/>
    <w:rsid w:val="005F5375"/>
    <w:rsid w:val="005F7E43"/>
    <w:rsid w:val="00601477"/>
    <w:rsid w:val="00607CC6"/>
    <w:rsid w:val="00611324"/>
    <w:rsid w:val="00634CDA"/>
    <w:rsid w:val="00635BCD"/>
    <w:rsid w:val="00636E60"/>
    <w:rsid w:val="00641844"/>
    <w:rsid w:val="00642716"/>
    <w:rsid w:val="00644B70"/>
    <w:rsid w:val="00645AAE"/>
    <w:rsid w:val="006466DA"/>
    <w:rsid w:val="00646F01"/>
    <w:rsid w:val="00651658"/>
    <w:rsid w:val="006517A2"/>
    <w:rsid w:val="006529E4"/>
    <w:rsid w:val="0065439D"/>
    <w:rsid w:val="00660A2F"/>
    <w:rsid w:val="00675F2E"/>
    <w:rsid w:val="00676AA1"/>
    <w:rsid w:val="00676DFE"/>
    <w:rsid w:val="00684A7D"/>
    <w:rsid w:val="006868F0"/>
    <w:rsid w:val="00687678"/>
    <w:rsid w:val="00690981"/>
    <w:rsid w:val="006A3269"/>
    <w:rsid w:val="006A342B"/>
    <w:rsid w:val="006A5893"/>
    <w:rsid w:val="006A78A1"/>
    <w:rsid w:val="006C6F77"/>
    <w:rsid w:val="006C7512"/>
    <w:rsid w:val="006D3725"/>
    <w:rsid w:val="006D5252"/>
    <w:rsid w:val="006D73E2"/>
    <w:rsid w:val="006E2CF7"/>
    <w:rsid w:val="006E4BFC"/>
    <w:rsid w:val="006E6592"/>
    <w:rsid w:val="006F2F0A"/>
    <w:rsid w:val="00700DAB"/>
    <w:rsid w:val="00702D81"/>
    <w:rsid w:val="00711381"/>
    <w:rsid w:val="0071615F"/>
    <w:rsid w:val="0072276F"/>
    <w:rsid w:val="00724B95"/>
    <w:rsid w:val="007319AE"/>
    <w:rsid w:val="00731C6A"/>
    <w:rsid w:val="00735099"/>
    <w:rsid w:val="007456A0"/>
    <w:rsid w:val="007475EE"/>
    <w:rsid w:val="00747ACF"/>
    <w:rsid w:val="00763918"/>
    <w:rsid w:val="007655CE"/>
    <w:rsid w:val="00766F99"/>
    <w:rsid w:val="00775252"/>
    <w:rsid w:val="00796AD6"/>
    <w:rsid w:val="00796D6A"/>
    <w:rsid w:val="007A1409"/>
    <w:rsid w:val="007A1551"/>
    <w:rsid w:val="007A3BC1"/>
    <w:rsid w:val="007A49C3"/>
    <w:rsid w:val="007C27B7"/>
    <w:rsid w:val="007C29DB"/>
    <w:rsid w:val="007C4E3E"/>
    <w:rsid w:val="007E0117"/>
    <w:rsid w:val="007E212C"/>
    <w:rsid w:val="007E2ED0"/>
    <w:rsid w:val="007F24FF"/>
    <w:rsid w:val="007F5912"/>
    <w:rsid w:val="007F6219"/>
    <w:rsid w:val="007F7C30"/>
    <w:rsid w:val="00803402"/>
    <w:rsid w:val="00805609"/>
    <w:rsid w:val="008056D8"/>
    <w:rsid w:val="008114A8"/>
    <w:rsid w:val="008138CC"/>
    <w:rsid w:val="00820FBF"/>
    <w:rsid w:val="00821FE9"/>
    <w:rsid w:val="0082773D"/>
    <w:rsid w:val="00832767"/>
    <w:rsid w:val="0083784B"/>
    <w:rsid w:val="00837B1C"/>
    <w:rsid w:val="00850E88"/>
    <w:rsid w:val="008517FF"/>
    <w:rsid w:val="00854FD2"/>
    <w:rsid w:val="0086222B"/>
    <w:rsid w:val="00863E37"/>
    <w:rsid w:val="00864F78"/>
    <w:rsid w:val="008651F9"/>
    <w:rsid w:val="00866F53"/>
    <w:rsid w:val="00892CD5"/>
    <w:rsid w:val="008A090D"/>
    <w:rsid w:val="008D045F"/>
    <w:rsid w:val="008E12EE"/>
    <w:rsid w:val="008F63B5"/>
    <w:rsid w:val="009019D0"/>
    <w:rsid w:val="00902724"/>
    <w:rsid w:val="00910568"/>
    <w:rsid w:val="00911158"/>
    <w:rsid w:val="009150EB"/>
    <w:rsid w:val="009257D5"/>
    <w:rsid w:val="00926535"/>
    <w:rsid w:val="00936E98"/>
    <w:rsid w:val="00946CA5"/>
    <w:rsid w:val="009562BC"/>
    <w:rsid w:val="00957397"/>
    <w:rsid w:val="0096555A"/>
    <w:rsid w:val="009658A0"/>
    <w:rsid w:val="00971745"/>
    <w:rsid w:val="009722BC"/>
    <w:rsid w:val="0097429C"/>
    <w:rsid w:val="009806A8"/>
    <w:rsid w:val="009829C8"/>
    <w:rsid w:val="009A191A"/>
    <w:rsid w:val="009B770C"/>
    <w:rsid w:val="009B7C6B"/>
    <w:rsid w:val="009C715E"/>
    <w:rsid w:val="009D12EC"/>
    <w:rsid w:val="009D3CD6"/>
    <w:rsid w:val="009E242A"/>
    <w:rsid w:val="009F0D6F"/>
    <w:rsid w:val="009F349E"/>
    <w:rsid w:val="00A00A47"/>
    <w:rsid w:val="00A0535E"/>
    <w:rsid w:val="00A055A3"/>
    <w:rsid w:val="00A066AC"/>
    <w:rsid w:val="00A14553"/>
    <w:rsid w:val="00A15842"/>
    <w:rsid w:val="00A277BA"/>
    <w:rsid w:val="00A3106A"/>
    <w:rsid w:val="00A42E4E"/>
    <w:rsid w:val="00A62CF1"/>
    <w:rsid w:val="00A80A29"/>
    <w:rsid w:val="00A82156"/>
    <w:rsid w:val="00A8446F"/>
    <w:rsid w:val="00A86873"/>
    <w:rsid w:val="00A90317"/>
    <w:rsid w:val="00A94443"/>
    <w:rsid w:val="00AA3618"/>
    <w:rsid w:val="00AA4983"/>
    <w:rsid w:val="00AA5A3E"/>
    <w:rsid w:val="00AA5BF1"/>
    <w:rsid w:val="00AB661C"/>
    <w:rsid w:val="00AC2BEE"/>
    <w:rsid w:val="00AC3B1A"/>
    <w:rsid w:val="00AC64A2"/>
    <w:rsid w:val="00AC7652"/>
    <w:rsid w:val="00AC7B19"/>
    <w:rsid w:val="00AD00F1"/>
    <w:rsid w:val="00AD2001"/>
    <w:rsid w:val="00AD327B"/>
    <w:rsid w:val="00AE4DE2"/>
    <w:rsid w:val="00AF0E1D"/>
    <w:rsid w:val="00AF3AED"/>
    <w:rsid w:val="00B016E3"/>
    <w:rsid w:val="00B029EB"/>
    <w:rsid w:val="00B12FA3"/>
    <w:rsid w:val="00B15520"/>
    <w:rsid w:val="00B170DD"/>
    <w:rsid w:val="00B20224"/>
    <w:rsid w:val="00B31060"/>
    <w:rsid w:val="00B328F2"/>
    <w:rsid w:val="00B32C86"/>
    <w:rsid w:val="00B33809"/>
    <w:rsid w:val="00B33918"/>
    <w:rsid w:val="00B42F64"/>
    <w:rsid w:val="00B44293"/>
    <w:rsid w:val="00B46B23"/>
    <w:rsid w:val="00B553D1"/>
    <w:rsid w:val="00B610C4"/>
    <w:rsid w:val="00B77012"/>
    <w:rsid w:val="00B8111B"/>
    <w:rsid w:val="00B839EB"/>
    <w:rsid w:val="00B84A72"/>
    <w:rsid w:val="00B8582D"/>
    <w:rsid w:val="00B8623C"/>
    <w:rsid w:val="00B90B82"/>
    <w:rsid w:val="00B93FA7"/>
    <w:rsid w:val="00B945CD"/>
    <w:rsid w:val="00B97685"/>
    <w:rsid w:val="00BB037D"/>
    <w:rsid w:val="00BB2C34"/>
    <w:rsid w:val="00BB2D3C"/>
    <w:rsid w:val="00BB3098"/>
    <w:rsid w:val="00BB5318"/>
    <w:rsid w:val="00BB7846"/>
    <w:rsid w:val="00BB7C53"/>
    <w:rsid w:val="00BC6ED9"/>
    <w:rsid w:val="00BD124A"/>
    <w:rsid w:val="00BD27F6"/>
    <w:rsid w:val="00BD41F2"/>
    <w:rsid w:val="00BD6AF5"/>
    <w:rsid w:val="00BE7099"/>
    <w:rsid w:val="00BE7E7B"/>
    <w:rsid w:val="00BF26D0"/>
    <w:rsid w:val="00BF5D80"/>
    <w:rsid w:val="00BF79EA"/>
    <w:rsid w:val="00C02029"/>
    <w:rsid w:val="00C137E1"/>
    <w:rsid w:val="00C155C4"/>
    <w:rsid w:val="00C15646"/>
    <w:rsid w:val="00C1794A"/>
    <w:rsid w:val="00C20100"/>
    <w:rsid w:val="00C21A3D"/>
    <w:rsid w:val="00C23C9C"/>
    <w:rsid w:val="00C2572D"/>
    <w:rsid w:val="00C31AC3"/>
    <w:rsid w:val="00C33FEC"/>
    <w:rsid w:val="00C374EE"/>
    <w:rsid w:val="00C50503"/>
    <w:rsid w:val="00C546C5"/>
    <w:rsid w:val="00C55D97"/>
    <w:rsid w:val="00C56E00"/>
    <w:rsid w:val="00C612DE"/>
    <w:rsid w:val="00C64A42"/>
    <w:rsid w:val="00C64F10"/>
    <w:rsid w:val="00C65219"/>
    <w:rsid w:val="00C67DEF"/>
    <w:rsid w:val="00C70017"/>
    <w:rsid w:val="00C70A6E"/>
    <w:rsid w:val="00C753A5"/>
    <w:rsid w:val="00C80E8F"/>
    <w:rsid w:val="00C82C5D"/>
    <w:rsid w:val="00C86E99"/>
    <w:rsid w:val="00CA100E"/>
    <w:rsid w:val="00CA6BCA"/>
    <w:rsid w:val="00CB1126"/>
    <w:rsid w:val="00CB1912"/>
    <w:rsid w:val="00CB437D"/>
    <w:rsid w:val="00CB5E62"/>
    <w:rsid w:val="00CC3120"/>
    <w:rsid w:val="00CC6E06"/>
    <w:rsid w:val="00CC6F34"/>
    <w:rsid w:val="00CC7936"/>
    <w:rsid w:val="00CC79E2"/>
    <w:rsid w:val="00CE0D3A"/>
    <w:rsid w:val="00CE1AA8"/>
    <w:rsid w:val="00CE333A"/>
    <w:rsid w:val="00CE6416"/>
    <w:rsid w:val="00CF62A9"/>
    <w:rsid w:val="00D00868"/>
    <w:rsid w:val="00D105A6"/>
    <w:rsid w:val="00D11336"/>
    <w:rsid w:val="00D14B9F"/>
    <w:rsid w:val="00D179A2"/>
    <w:rsid w:val="00D21881"/>
    <w:rsid w:val="00D2384A"/>
    <w:rsid w:val="00D2679A"/>
    <w:rsid w:val="00D30C22"/>
    <w:rsid w:val="00D321F4"/>
    <w:rsid w:val="00D33582"/>
    <w:rsid w:val="00D35B3D"/>
    <w:rsid w:val="00D41842"/>
    <w:rsid w:val="00D419AE"/>
    <w:rsid w:val="00D502F8"/>
    <w:rsid w:val="00D504DD"/>
    <w:rsid w:val="00D54BEB"/>
    <w:rsid w:val="00D55DB8"/>
    <w:rsid w:val="00D56353"/>
    <w:rsid w:val="00D579D0"/>
    <w:rsid w:val="00D61F34"/>
    <w:rsid w:val="00D639F9"/>
    <w:rsid w:val="00D63D70"/>
    <w:rsid w:val="00D6488D"/>
    <w:rsid w:val="00D70E07"/>
    <w:rsid w:val="00D73F72"/>
    <w:rsid w:val="00D81CB5"/>
    <w:rsid w:val="00D82476"/>
    <w:rsid w:val="00D83E69"/>
    <w:rsid w:val="00D90614"/>
    <w:rsid w:val="00DA45AC"/>
    <w:rsid w:val="00DA7F2B"/>
    <w:rsid w:val="00DB0E0F"/>
    <w:rsid w:val="00DB458C"/>
    <w:rsid w:val="00DB4F05"/>
    <w:rsid w:val="00DB55FD"/>
    <w:rsid w:val="00DC70D0"/>
    <w:rsid w:val="00DD20A9"/>
    <w:rsid w:val="00DE0C5D"/>
    <w:rsid w:val="00DE15EB"/>
    <w:rsid w:val="00DE32E0"/>
    <w:rsid w:val="00DF1712"/>
    <w:rsid w:val="00DF328F"/>
    <w:rsid w:val="00E138E3"/>
    <w:rsid w:val="00E144F1"/>
    <w:rsid w:val="00E1518A"/>
    <w:rsid w:val="00E2469D"/>
    <w:rsid w:val="00E3225E"/>
    <w:rsid w:val="00E33433"/>
    <w:rsid w:val="00E42A72"/>
    <w:rsid w:val="00E4633F"/>
    <w:rsid w:val="00E46466"/>
    <w:rsid w:val="00E47D59"/>
    <w:rsid w:val="00E6162A"/>
    <w:rsid w:val="00E62CA4"/>
    <w:rsid w:val="00E72B8B"/>
    <w:rsid w:val="00E76675"/>
    <w:rsid w:val="00E83092"/>
    <w:rsid w:val="00E86DDC"/>
    <w:rsid w:val="00E91575"/>
    <w:rsid w:val="00E927F3"/>
    <w:rsid w:val="00E97D00"/>
    <w:rsid w:val="00EA1042"/>
    <w:rsid w:val="00EA4DB2"/>
    <w:rsid w:val="00EA6ED7"/>
    <w:rsid w:val="00EA79A4"/>
    <w:rsid w:val="00EA7A7D"/>
    <w:rsid w:val="00EB1700"/>
    <w:rsid w:val="00EB3972"/>
    <w:rsid w:val="00EC32BF"/>
    <w:rsid w:val="00EC3EED"/>
    <w:rsid w:val="00EC69D9"/>
    <w:rsid w:val="00EC7D8F"/>
    <w:rsid w:val="00EE4DD5"/>
    <w:rsid w:val="00EE5C16"/>
    <w:rsid w:val="00EE7A6B"/>
    <w:rsid w:val="00EF1303"/>
    <w:rsid w:val="00EF426E"/>
    <w:rsid w:val="00EF4E88"/>
    <w:rsid w:val="00F01EDD"/>
    <w:rsid w:val="00F061C2"/>
    <w:rsid w:val="00F06CB4"/>
    <w:rsid w:val="00F113AF"/>
    <w:rsid w:val="00F176EA"/>
    <w:rsid w:val="00F226E3"/>
    <w:rsid w:val="00F3547C"/>
    <w:rsid w:val="00F45B97"/>
    <w:rsid w:val="00F47710"/>
    <w:rsid w:val="00F529BB"/>
    <w:rsid w:val="00F5312E"/>
    <w:rsid w:val="00F56A0D"/>
    <w:rsid w:val="00F611CD"/>
    <w:rsid w:val="00F63636"/>
    <w:rsid w:val="00F72FB3"/>
    <w:rsid w:val="00F753CC"/>
    <w:rsid w:val="00F918C4"/>
    <w:rsid w:val="00FA7FBF"/>
    <w:rsid w:val="00FB791E"/>
    <w:rsid w:val="00FC1F2F"/>
    <w:rsid w:val="00FC42A4"/>
    <w:rsid w:val="00FC4EE0"/>
    <w:rsid w:val="00FC5AD8"/>
    <w:rsid w:val="00FC78CE"/>
    <w:rsid w:val="00FD40AA"/>
    <w:rsid w:val="00FE00FB"/>
    <w:rsid w:val="00FE0272"/>
    <w:rsid w:val="00FE10C2"/>
    <w:rsid w:val="00FE3729"/>
    <w:rsid w:val="00FF2F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6B525A"/>
  <w15:chartTrackingRefBased/>
  <w15:docId w15:val="{426E3910-52BD-408E-881F-79B68A0E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45BA"/>
    <w:pPr>
      <w:spacing w:after="120"/>
      <w:jc w:val="both"/>
    </w:pPr>
    <w:rPr>
      <w:rFonts w:ascii="Times New Roman" w:hAnsi="Times New Roman"/>
    </w:rPr>
  </w:style>
  <w:style w:type="paragraph" w:styleId="1">
    <w:name w:val="heading 1"/>
    <w:basedOn w:val="a"/>
    <w:next w:val="a"/>
    <w:link w:val="10"/>
    <w:autoRedefine/>
    <w:uiPriority w:val="9"/>
    <w:qFormat/>
    <w:rsid w:val="00690981"/>
    <w:pPr>
      <w:keepNext/>
      <w:keepLines/>
      <w:numPr>
        <w:numId w:val="3"/>
      </w:numPr>
      <w:pBdr>
        <w:top w:val="single" w:sz="12" w:space="1" w:color="auto"/>
      </w:pBdr>
      <w:spacing w:before="240"/>
      <w:ind w:left="431" w:hanging="431"/>
      <w:outlineLvl w:val="0"/>
    </w:pPr>
    <w:rPr>
      <w:rFonts w:ascii="Arial" w:eastAsiaTheme="majorEastAsia" w:hAnsi="Arial" w:cstheme="majorBidi"/>
      <w:sz w:val="36"/>
      <w:szCs w:val="32"/>
    </w:rPr>
  </w:style>
  <w:style w:type="paragraph" w:styleId="2">
    <w:name w:val="heading 2"/>
    <w:basedOn w:val="a"/>
    <w:next w:val="a"/>
    <w:link w:val="20"/>
    <w:uiPriority w:val="9"/>
    <w:unhideWhenUsed/>
    <w:qFormat/>
    <w:rsid w:val="00690981"/>
    <w:pPr>
      <w:keepNext/>
      <w:keepLines/>
      <w:numPr>
        <w:ilvl w:val="1"/>
        <w:numId w:val="3"/>
      </w:numPr>
      <w:spacing w:before="120"/>
      <w:ind w:left="860"/>
      <w:outlineLvl w:val="1"/>
    </w:pPr>
    <w:rPr>
      <w:rFonts w:ascii="Arial" w:eastAsiaTheme="majorEastAsia" w:hAnsi="Arial" w:cstheme="majorBidi"/>
      <w:sz w:val="28"/>
      <w:szCs w:val="26"/>
    </w:rPr>
  </w:style>
  <w:style w:type="paragraph" w:styleId="3">
    <w:name w:val="heading 3"/>
    <w:basedOn w:val="a"/>
    <w:next w:val="a"/>
    <w:link w:val="30"/>
    <w:uiPriority w:val="9"/>
    <w:unhideWhenUsed/>
    <w:qFormat/>
    <w:rsid w:val="00B945CD"/>
    <w:pPr>
      <w:keepNext/>
      <w:keepLines/>
      <w:numPr>
        <w:ilvl w:val="2"/>
        <w:numId w:val="3"/>
      </w:numPr>
      <w:spacing w:before="120"/>
      <w:outlineLvl w:val="2"/>
    </w:pPr>
    <w:rPr>
      <w:rFonts w:ascii="Arial" w:eastAsiaTheme="majorEastAsia" w:hAnsi="Arial" w:cstheme="majorBidi"/>
      <w:b/>
      <w:sz w:val="24"/>
      <w:szCs w:val="24"/>
    </w:rPr>
  </w:style>
  <w:style w:type="paragraph" w:styleId="4">
    <w:name w:val="heading 4"/>
    <w:basedOn w:val="a"/>
    <w:next w:val="a"/>
    <w:link w:val="40"/>
    <w:uiPriority w:val="9"/>
    <w:semiHidden/>
    <w:unhideWhenUsed/>
    <w:qFormat/>
    <w:rsid w:val="0082773D"/>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82773D"/>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82773D"/>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82773D"/>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82773D"/>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82773D"/>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90981"/>
    <w:rPr>
      <w:rFonts w:ascii="Arial" w:eastAsiaTheme="majorEastAsia" w:hAnsi="Arial" w:cstheme="majorBidi"/>
      <w:sz w:val="36"/>
      <w:szCs w:val="32"/>
    </w:rPr>
  </w:style>
  <w:style w:type="character" w:styleId="a3">
    <w:name w:val="Emphasis"/>
    <w:basedOn w:val="a0"/>
    <w:qFormat/>
    <w:rsid w:val="0082773D"/>
    <w:rPr>
      <w:i/>
      <w:iCs/>
    </w:rPr>
  </w:style>
  <w:style w:type="character" w:customStyle="1" w:styleId="20">
    <w:name w:val="标题 2 字符"/>
    <w:basedOn w:val="a0"/>
    <w:link w:val="2"/>
    <w:uiPriority w:val="9"/>
    <w:rsid w:val="00690981"/>
    <w:rPr>
      <w:rFonts w:ascii="Arial" w:eastAsiaTheme="majorEastAsia" w:hAnsi="Arial" w:cstheme="majorBidi"/>
      <w:sz w:val="28"/>
      <w:szCs w:val="26"/>
    </w:rPr>
  </w:style>
  <w:style w:type="character" w:customStyle="1" w:styleId="30">
    <w:name w:val="标题 3 字符"/>
    <w:basedOn w:val="a0"/>
    <w:link w:val="3"/>
    <w:uiPriority w:val="9"/>
    <w:rsid w:val="00B945CD"/>
    <w:rPr>
      <w:rFonts w:ascii="Arial" w:eastAsiaTheme="majorEastAsia" w:hAnsi="Arial" w:cstheme="majorBidi"/>
      <w:b/>
      <w:sz w:val="24"/>
      <w:szCs w:val="24"/>
    </w:rPr>
  </w:style>
  <w:style w:type="character" w:customStyle="1" w:styleId="40">
    <w:name w:val="标题 4 字符"/>
    <w:basedOn w:val="a0"/>
    <w:link w:val="4"/>
    <w:uiPriority w:val="9"/>
    <w:semiHidden/>
    <w:rsid w:val="0082773D"/>
    <w:rPr>
      <w:rFonts w:asciiTheme="majorHAnsi" w:eastAsiaTheme="majorEastAsia" w:hAnsiTheme="majorHAnsi" w:cstheme="majorBidi"/>
      <w:i/>
      <w:iCs/>
      <w:color w:val="2F5496" w:themeColor="accent1" w:themeShade="BF"/>
    </w:rPr>
  </w:style>
  <w:style w:type="character" w:customStyle="1" w:styleId="50">
    <w:name w:val="标题 5 字符"/>
    <w:basedOn w:val="a0"/>
    <w:link w:val="5"/>
    <w:uiPriority w:val="9"/>
    <w:semiHidden/>
    <w:rsid w:val="0082773D"/>
    <w:rPr>
      <w:rFonts w:asciiTheme="majorHAnsi" w:eastAsiaTheme="majorEastAsia" w:hAnsiTheme="majorHAnsi" w:cstheme="majorBidi"/>
      <w:color w:val="2F5496" w:themeColor="accent1" w:themeShade="BF"/>
    </w:rPr>
  </w:style>
  <w:style w:type="character" w:customStyle="1" w:styleId="60">
    <w:name w:val="标题 6 字符"/>
    <w:basedOn w:val="a0"/>
    <w:link w:val="6"/>
    <w:uiPriority w:val="9"/>
    <w:semiHidden/>
    <w:rsid w:val="0082773D"/>
    <w:rPr>
      <w:rFonts w:asciiTheme="majorHAnsi" w:eastAsiaTheme="majorEastAsia" w:hAnsiTheme="majorHAnsi" w:cstheme="majorBidi"/>
      <w:color w:val="1F3763" w:themeColor="accent1" w:themeShade="7F"/>
    </w:rPr>
  </w:style>
  <w:style w:type="character" w:customStyle="1" w:styleId="70">
    <w:name w:val="标题 7 字符"/>
    <w:basedOn w:val="a0"/>
    <w:link w:val="7"/>
    <w:uiPriority w:val="9"/>
    <w:semiHidden/>
    <w:rsid w:val="0082773D"/>
    <w:rPr>
      <w:rFonts w:asciiTheme="majorHAnsi" w:eastAsiaTheme="majorEastAsia" w:hAnsiTheme="majorHAnsi" w:cstheme="majorBidi"/>
      <w:i/>
      <w:iCs/>
      <w:color w:val="1F3763" w:themeColor="accent1" w:themeShade="7F"/>
    </w:rPr>
  </w:style>
  <w:style w:type="character" w:customStyle="1" w:styleId="80">
    <w:name w:val="标题 8 字符"/>
    <w:basedOn w:val="a0"/>
    <w:link w:val="8"/>
    <w:uiPriority w:val="9"/>
    <w:semiHidden/>
    <w:rsid w:val="0082773D"/>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82773D"/>
    <w:rPr>
      <w:rFonts w:asciiTheme="majorHAnsi" w:eastAsiaTheme="majorEastAsia" w:hAnsiTheme="majorHAnsi" w:cstheme="majorBidi"/>
      <w:i/>
      <w:iCs/>
      <w:color w:val="272727" w:themeColor="text1" w:themeTint="D8"/>
      <w:sz w:val="21"/>
      <w:szCs w:val="21"/>
    </w:rPr>
  </w:style>
  <w:style w:type="paragraph" w:styleId="a4">
    <w:name w:val="List Paragraph"/>
    <w:aliases w:val="- Bullets,목록 단락,Lista1,?? ??,?????,????,列出段落1,中等深浅网格 1 - 着色 21,列表段落,¥¡¡¡¡ì¬º¥¹¥È¶ÎÂä,ÁÐ³ö¶ÎÂä,列表段落1,—ño’i—Ž,¥ê¥¹¥È¶ÎÂä,1st level - Bullet List Paragraph,Lettre d'introduction,Paragrafo elenco,Normal bullet 2,Bullet list,List Paragr,リスト段落,목록단락,列表段落11"/>
    <w:basedOn w:val="a"/>
    <w:link w:val="a5"/>
    <w:uiPriority w:val="34"/>
    <w:qFormat/>
    <w:rsid w:val="00C70A6E"/>
    <w:pPr>
      <w:spacing w:line="240" w:lineRule="auto"/>
      <w:ind w:left="720"/>
      <w:contextualSpacing/>
    </w:pPr>
  </w:style>
  <w:style w:type="character" w:customStyle="1" w:styleId="a5">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4"/>
    <w:uiPriority w:val="34"/>
    <w:qFormat/>
    <w:locked/>
    <w:rsid w:val="00C70A6E"/>
    <w:rPr>
      <w:rFonts w:ascii="Times New Roman" w:hAnsi="Times New Roman"/>
    </w:rPr>
  </w:style>
  <w:style w:type="character" w:customStyle="1" w:styleId="apple-converted-space">
    <w:name w:val="apple-converted-space"/>
    <w:basedOn w:val="a0"/>
    <w:rsid w:val="00456D36"/>
  </w:style>
  <w:style w:type="character" w:styleId="a6">
    <w:name w:val="Hyperlink"/>
    <w:uiPriority w:val="99"/>
    <w:rsid w:val="004549AB"/>
    <w:rPr>
      <w:color w:val="0000FF"/>
      <w:u w:val="single"/>
    </w:rPr>
  </w:style>
  <w:style w:type="character" w:styleId="a7">
    <w:name w:val="FollowedHyperlink"/>
    <w:basedOn w:val="a0"/>
    <w:uiPriority w:val="99"/>
    <w:semiHidden/>
    <w:unhideWhenUsed/>
    <w:rsid w:val="003C6D07"/>
    <w:rPr>
      <w:color w:val="954F72" w:themeColor="followedHyperlink"/>
      <w:u w:val="single"/>
    </w:rPr>
  </w:style>
  <w:style w:type="paragraph" w:customStyle="1" w:styleId="TH">
    <w:name w:val="TH"/>
    <w:basedOn w:val="a"/>
    <w:link w:val="THChar"/>
    <w:rsid w:val="0009264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ja-JP"/>
    </w:rPr>
  </w:style>
  <w:style w:type="character" w:customStyle="1" w:styleId="THChar">
    <w:name w:val="TH Char"/>
    <w:link w:val="TH"/>
    <w:qFormat/>
    <w:rsid w:val="0009264A"/>
    <w:rPr>
      <w:rFonts w:ascii="Arial" w:eastAsia="Times New Roman" w:hAnsi="Arial" w:cs="Times New Roman"/>
      <w:b/>
      <w:sz w:val="20"/>
      <w:szCs w:val="20"/>
      <w:lang w:eastAsia="ja-JP"/>
    </w:rPr>
  </w:style>
  <w:style w:type="paragraph" w:customStyle="1" w:styleId="TF">
    <w:name w:val="TF"/>
    <w:basedOn w:val="TH"/>
    <w:link w:val="TFChar"/>
    <w:rsid w:val="0009264A"/>
    <w:pPr>
      <w:keepNext w:val="0"/>
      <w:spacing w:before="0" w:after="240"/>
    </w:pPr>
  </w:style>
  <w:style w:type="character" w:customStyle="1" w:styleId="TFChar">
    <w:name w:val="TF Char"/>
    <w:link w:val="TF"/>
    <w:rsid w:val="0009264A"/>
    <w:rPr>
      <w:rFonts w:ascii="Arial" w:eastAsia="Times New Roman" w:hAnsi="Arial" w:cs="Times New Roman"/>
      <w:b/>
      <w:sz w:val="20"/>
      <w:szCs w:val="20"/>
      <w:lang w:eastAsia="ja-JP"/>
    </w:rPr>
  </w:style>
  <w:style w:type="paragraph" w:styleId="a8">
    <w:name w:val="caption"/>
    <w:basedOn w:val="a"/>
    <w:next w:val="a"/>
    <w:uiPriority w:val="35"/>
    <w:unhideWhenUsed/>
    <w:qFormat/>
    <w:rsid w:val="0009264A"/>
    <w:pPr>
      <w:spacing w:after="200" w:line="240" w:lineRule="auto"/>
    </w:pPr>
    <w:rPr>
      <w:i/>
      <w:iCs/>
      <w:color w:val="44546A" w:themeColor="text2"/>
      <w:sz w:val="18"/>
      <w:szCs w:val="18"/>
    </w:rPr>
  </w:style>
  <w:style w:type="paragraph" w:styleId="a9">
    <w:name w:val="header"/>
    <w:basedOn w:val="a"/>
    <w:link w:val="aa"/>
    <w:uiPriority w:val="99"/>
    <w:unhideWhenUsed/>
    <w:rsid w:val="006A5893"/>
    <w:pPr>
      <w:pBdr>
        <w:bottom w:val="single" w:sz="6" w:space="1" w:color="auto"/>
      </w:pBdr>
      <w:tabs>
        <w:tab w:val="center" w:pos="4153"/>
        <w:tab w:val="right" w:pos="8306"/>
      </w:tabs>
      <w:snapToGrid w:val="0"/>
      <w:spacing w:line="240" w:lineRule="auto"/>
      <w:jc w:val="center"/>
    </w:pPr>
    <w:rPr>
      <w:sz w:val="18"/>
      <w:szCs w:val="18"/>
    </w:rPr>
  </w:style>
  <w:style w:type="character" w:customStyle="1" w:styleId="aa">
    <w:name w:val="页眉 字符"/>
    <w:basedOn w:val="a0"/>
    <w:link w:val="a9"/>
    <w:uiPriority w:val="99"/>
    <w:rsid w:val="006A5893"/>
    <w:rPr>
      <w:rFonts w:ascii="Times New Roman" w:hAnsi="Times New Roman"/>
      <w:sz w:val="18"/>
      <w:szCs w:val="18"/>
    </w:rPr>
  </w:style>
  <w:style w:type="paragraph" w:styleId="ab">
    <w:name w:val="footer"/>
    <w:basedOn w:val="a"/>
    <w:link w:val="ac"/>
    <w:uiPriority w:val="99"/>
    <w:unhideWhenUsed/>
    <w:rsid w:val="006A5893"/>
    <w:pPr>
      <w:tabs>
        <w:tab w:val="center" w:pos="4153"/>
        <w:tab w:val="right" w:pos="8306"/>
      </w:tabs>
      <w:snapToGrid w:val="0"/>
      <w:spacing w:line="240" w:lineRule="auto"/>
      <w:jc w:val="left"/>
    </w:pPr>
    <w:rPr>
      <w:sz w:val="18"/>
      <w:szCs w:val="18"/>
    </w:rPr>
  </w:style>
  <w:style w:type="character" w:customStyle="1" w:styleId="ac">
    <w:name w:val="页脚 字符"/>
    <w:basedOn w:val="a0"/>
    <w:link w:val="ab"/>
    <w:uiPriority w:val="99"/>
    <w:rsid w:val="006A5893"/>
    <w:rPr>
      <w:rFonts w:ascii="Times New Roman" w:hAnsi="Times New Roman"/>
      <w:sz w:val="18"/>
      <w:szCs w:val="18"/>
    </w:rPr>
  </w:style>
  <w:style w:type="paragraph" w:styleId="ad">
    <w:name w:val="Balloon Text"/>
    <w:basedOn w:val="a"/>
    <w:link w:val="ae"/>
    <w:uiPriority w:val="99"/>
    <w:semiHidden/>
    <w:unhideWhenUsed/>
    <w:rsid w:val="00A80A29"/>
    <w:pPr>
      <w:spacing w:after="0" w:line="240" w:lineRule="auto"/>
    </w:pPr>
    <w:rPr>
      <w:sz w:val="18"/>
      <w:szCs w:val="18"/>
    </w:rPr>
  </w:style>
  <w:style w:type="character" w:customStyle="1" w:styleId="ae">
    <w:name w:val="批注框文本 字符"/>
    <w:basedOn w:val="a0"/>
    <w:link w:val="ad"/>
    <w:uiPriority w:val="99"/>
    <w:semiHidden/>
    <w:rsid w:val="00A80A29"/>
    <w:rPr>
      <w:rFonts w:ascii="Times New Roman" w:hAnsi="Times New Roman"/>
      <w:sz w:val="18"/>
      <w:szCs w:val="18"/>
    </w:rPr>
  </w:style>
  <w:style w:type="paragraph" w:styleId="af">
    <w:name w:val="Normal (Web)"/>
    <w:basedOn w:val="a"/>
    <w:uiPriority w:val="99"/>
    <w:semiHidden/>
    <w:unhideWhenUsed/>
    <w:rsid w:val="00074118"/>
    <w:pPr>
      <w:spacing w:before="100" w:beforeAutospacing="1" w:after="100" w:afterAutospacing="1" w:line="240" w:lineRule="auto"/>
      <w:jc w:val="left"/>
    </w:pPr>
    <w:rPr>
      <w:rFonts w:ascii="宋体" w:eastAsia="宋体" w:hAnsi="宋体" w:cs="宋体"/>
      <w:sz w:val="24"/>
      <w:szCs w:val="24"/>
      <w:lang w:val="en-US"/>
    </w:rPr>
  </w:style>
  <w:style w:type="character" w:styleId="af0">
    <w:name w:val="annotation reference"/>
    <w:basedOn w:val="a0"/>
    <w:uiPriority w:val="99"/>
    <w:semiHidden/>
    <w:unhideWhenUsed/>
    <w:rsid w:val="00C50503"/>
    <w:rPr>
      <w:sz w:val="16"/>
      <w:szCs w:val="16"/>
    </w:rPr>
  </w:style>
  <w:style w:type="paragraph" w:styleId="af1">
    <w:name w:val="annotation text"/>
    <w:basedOn w:val="a"/>
    <w:link w:val="af2"/>
    <w:uiPriority w:val="99"/>
    <w:unhideWhenUsed/>
    <w:rsid w:val="00C50503"/>
    <w:pPr>
      <w:spacing w:line="240" w:lineRule="auto"/>
    </w:pPr>
    <w:rPr>
      <w:sz w:val="20"/>
      <w:szCs w:val="20"/>
    </w:rPr>
  </w:style>
  <w:style w:type="character" w:customStyle="1" w:styleId="af2">
    <w:name w:val="批注文字 字符"/>
    <w:basedOn w:val="a0"/>
    <w:link w:val="af1"/>
    <w:uiPriority w:val="99"/>
    <w:rsid w:val="00C50503"/>
    <w:rPr>
      <w:rFonts w:ascii="Times New Roman" w:hAnsi="Times New Roman"/>
      <w:sz w:val="20"/>
      <w:szCs w:val="20"/>
    </w:rPr>
  </w:style>
  <w:style w:type="paragraph" w:styleId="af3">
    <w:name w:val="annotation subject"/>
    <w:basedOn w:val="af1"/>
    <w:next w:val="af1"/>
    <w:link w:val="af4"/>
    <w:uiPriority w:val="99"/>
    <w:semiHidden/>
    <w:unhideWhenUsed/>
    <w:rsid w:val="00C50503"/>
    <w:rPr>
      <w:b/>
      <w:bCs/>
    </w:rPr>
  </w:style>
  <w:style w:type="character" w:customStyle="1" w:styleId="af4">
    <w:name w:val="批注主题 字符"/>
    <w:basedOn w:val="af2"/>
    <w:link w:val="af3"/>
    <w:uiPriority w:val="99"/>
    <w:semiHidden/>
    <w:rsid w:val="00C50503"/>
    <w:rPr>
      <w:rFonts w:ascii="Times New Roman" w:hAnsi="Times New Roman"/>
      <w:b/>
      <w:bCs/>
      <w:sz w:val="20"/>
      <w:szCs w:val="20"/>
    </w:rPr>
  </w:style>
  <w:style w:type="paragraph" w:customStyle="1" w:styleId="xmsonormal">
    <w:name w:val="x_msonormal"/>
    <w:basedOn w:val="a"/>
    <w:qFormat/>
    <w:rsid w:val="00AA5BF1"/>
    <w:pPr>
      <w:spacing w:after="0" w:line="240" w:lineRule="auto"/>
      <w:jc w:val="left"/>
    </w:pPr>
    <w:rPr>
      <w:rFonts w:ascii="Calibri" w:eastAsia="Calibri" w:hAnsi="Calibri" w:cs="Calibri"/>
      <w:lang w:val="en-US" w:eastAsia="en-US"/>
    </w:rPr>
  </w:style>
  <w:style w:type="paragraph" w:styleId="af5">
    <w:name w:val="Body Text"/>
    <w:aliases w:val="bt"/>
    <w:basedOn w:val="a"/>
    <w:link w:val="af6"/>
    <w:rsid w:val="004857E1"/>
    <w:pPr>
      <w:spacing w:line="240" w:lineRule="auto"/>
    </w:pPr>
    <w:rPr>
      <w:rFonts w:ascii="Times" w:eastAsia="Batang" w:hAnsi="Times" w:cs="Times New Roman"/>
      <w:sz w:val="20"/>
      <w:szCs w:val="24"/>
      <w:lang w:eastAsia="x-none"/>
    </w:rPr>
  </w:style>
  <w:style w:type="character" w:customStyle="1" w:styleId="af6">
    <w:name w:val="正文文本 字符"/>
    <w:aliases w:val="bt 字符"/>
    <w:basedOn w:val="a0"/>
    <w:link w:val="af5"/>
    <w:rsid w:val="004857E1"/>
    <w:rPr>
      <w:rFonts w:ascii="Times" w:eastAsia="Batang" w:hAnsi="Times" w:cs="Times New Roman"/>
      <w:sz w:val="20"/>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123770">
      <w:bodyDiv w:val="1"/>
      <w:marLeft w:val="0"/>
      <w:marRight w:val="0"/>
      <w:marTop w:val="0"/>
      <w:marBottom w:val="0"/>
      <w:divBdr>
        <w:top w:val="none" w:sz="0" w:space="0" w:color="auto"/>
        <w:left w:val="none" w:sz="0" w:space="0" w:color="auto"/>
        <w:bottom w:val="none" w:sz="0" w:space="0" w:color="auto"/>
        <w:right w:val="none" w:sz="0" w:space="0" w:color="auto"/>
      </w:divBdr>
      <w:divsChild>
        <w:div w:id="1418937202">
          <w:marLeft w:val="1166"/>
          <w:marRight w:val="0"/>
          <w:marTop w:val="77"/>
          <w:marBottom w:val="0"/>
          <w:divBdr>
            <w:top w:val="none" w:sz="0" w:space="0" w:color="auto"/>
            <w:left w:val="none" w:sz="0" w:space="0" w:color="auto"/>
            <w:bottom w:val="none" w:sz="0" w:space="0" w:color="auto"/>
            <w:right w:val="none" w:sz="0" w:space="0" w:color="auto"/>
          </w:divBdr>
        </w:div>
      </w:divsChild>
    </w:div>
    <w:div w:id="406462788">
      <w:bodyDiv w:val="1"/>
      <w:marLeft w:val="0"/>
      <w:marRight w:val="0"/>
      <w:marTop w:val="0"/>
      <w:marBottom w:val="0"/>
      <w:divBdr>
        <w:top w:val="none" w:sz="0" w:space="0" w:color="auto"/>
        <w:left w:val="none" w:sz="0" w:space="0" w:color="auto"/>
        <w:bottom w:val="none" w:sz="0" w:space="0" w:color="auto"/>
        <w:right w:val="none" w:sz="0" w:space="0" w:color="auto"/>
      </w:divBdr>
    </w:div>
    <w:div w:id="440341092">
      <w:bodyDiv w:val="1"/>
      <w:marLeft w:val="0"/>
      <w:marRight w:val="0"/>
      <w:marTop w:val="0"/>
      <w:marBottom w:val="0"/>
      <w:divBdr>
        <w:top w:val="none" w:sz="0" w:space="0" w:color="auto"/>
        <w:left w:val="none" w:sz="0" w:space="0" w:color="auto"/>
        <w:bottom w:val="none" w:sz="0" w:space="0" w:color="auto"/>
        <w:right w:val="none" w:sz="0" w:space="0" w:color="auto"/>
      </w:divBdr>
      <w:divsChild>
        <w:div w:id="658509405">
          <w:marLeft w:val="1166"/>
          <w:marRight w:val="0"/>
          <w:marTop w:val="77"/>
          <w:marBottom w:val="0"/>
          <w:divBdr>
            <w:top w:val="none" w:sz="0" w:space="0" w:color="auto"/>
            <w:left w:val="none" w:sz="0" w:space="0" w:color="auto"/>
            <w:bottom w:val="none" w:sz="0" w:space="0" w:color="auto"/>
            <w:right w:val="none" w:sz="0" w:space="0" w:color="auto"/>
          </w:divBdr>
        </w:div>
      </w:divsChild>
    </w:div>
    <w:div w:id="530454301">
      <w:bodyDiv w:val="1"/>
      <w:marLeft w:val="0"/>
      <w:marRight w:val="0"/>
      <w:marTop w:val="0"/>
      <w:marBottom w:val="0"/>
      <w:divBdr>
        <w:top w:val="none" w:sz="0" w:space="0" w:color="auto"/>
        <w:left w:val="none" w:sz="0" w:space="0" w:color="auto"/>
        <w:bottom w:val="none" w:sz="0" w:space="0" w:color="auto"/>
        <w:right w:val="none" w:sz="0" w:space="0" w:color="auto"/>
      </w:divBdr>
      <w:divsChild>
        <w:div w:id="1943494890">
          <w:marLeft w:val="1642"/>
          <w:marRight w:val="0"/>
          <w:marTop w:val="77"/>
          <w:marBottom w:val="0"/>
          <w:divBdr>
            <w:top w:val="none" w:sz="0" w:space="0" w:color="auto"/>
            <w:left w:val="none" w:sz="0" w:space="0" w:color="auto"/>
            <w:bottom w:val="none" w:sz="0" w:space="0" w:color="auto"/>
            <w:right w:val="none" w:sz="0" w:space="0" w:color="auto"/>
          </w:divBdr>
        </w:div>
      </w:divsChild>
    </w:div>
    <w:div w:id="653140104">
      <w:bodyDiv w:val="1"/>
      <w:marLeft w:val="0"/>
      <w:marRight w:val="0"/>
      <w:marTop w:val="0"/>
      <w:marBottom w:val="0"/>
      <w:divBdr>
        <w:top w:val="none" w:sz="0" w:space="0" w:color="auto"/>
        <w:left w:val="none" w:sz="0" w:space="0" w:color="auto"/>
        <w:bottom w:val="none" w:sz="0" w:space="0" w:color="auto"/>
        <w:right w:val="none" w:sz="0" w:space="0" w:color="auto"/>
      </w:divBdr>
    </w:div>
    <w:div w:id="1097410048">
      <w:bodyDiv w:val="1"/>
      <w:marLeft w:val="0"/>
      <w:marRight w:val="0"/>
      <w:marTop w:val="0"/>
      <w:marBottom w:val="0"/>
      <w:divBdr>
        <w:top w:val="none" w:sz="0" w:space="0" w:color="auto"/>
        <w:left w:val="none" w:sz="0" w:space="0" w:color="auto"/>
        <w:bottom w:val="none" w:sz="0" w:space="0" w:color="auto"/>
        <w:right w:val="none" w:sz="0" w:space="0" w:color="auto"/>
      </w:divBdr>
      <w:divsChild>
        <w:div w:id="2074964354">
          <w:marLeft w:val="1166"/>
          <w:marRight w:val="0"/>
          <w:marTop w:val="86"/>
          <w:marBottom w:val="0"/>
          <w:divBdr>
            <w:top w:val="none" w:sz="0" w:space="0" w:color="auto"/>
            <w:left w:val="none" w:sz="0" w:space="0" w:color="auto"/>
            <w:bottom w:val="none" w:sz="0" w:space="0" w:color="auto"/>
            <w:right w:val="none" w:sz="0" w:space="0" w:color="auto"/>
          </w:divBdr>
        </w:div>
      </w:divsChild>
    </w:div>
    <w:div w:id="1688601643">
      <w:bodyDiv w:val="1"/>
      <w:marLeft w:val="0"/>
      <w:marRight w:val="0"/>
      <w:marTop w:val="0"/>
      <w:marBottom w:val="0"/>
      <w:divBdr>
        <w:top w:val="none" w:sz="0" w:space="0" w:color="auto"/>
        <w:left w:val="none" w:sz="0" w:space="0" w:color="auto"/>
        <w:bottom w:val="none" w:sz="0" w:space="0" w:color="auto"/>
        <w:right w:val="none" w:sz="0" w:space="0" w:color="auto"/>
      </w:divBdr>
      <w:divsChild>
        <w:div w:id="250630519">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5e/Docs/RP-22097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3D11A-E2AB-4BB4-911A-EEFEB92E1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4</Pages>
  <Words>1401</Words>
  <Characters>7991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li_xincai@nec.cn</dc:creator>
  <cp:keywords/>
  <dc:description/>
  <cp:lastModifiedBy>NEC</cp:lastModifiedBy>
  <cp:revision>178</cp:revision>
  <dcterms:created xsi:type="dcterms:W3CDTF">2023-07-06T05:20:00Z</dcterms:created>
  <dcterms:modified xsi:type="dcterms:W3CDTF">2023-08-10T05:50:00Z</dcterms:modified>
</cp:coreProperties>
</file>